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0D2137"/>
          <w:sz w:val="44"/>
        </w:rPr>
        <w:t>MODULE DE PRÉDICTION IA</w:t>
      </w:r>
    </w:p>
    <w:p>
      <w:pPr>
        <w:jc w:val="center"/>
      </w:pPr>
      <w:r>
        <w:rPr>
          <w:color w:val="1565C0"/>
          <w:sz w:val="28"/>
        </w:rPr>
        <w:t>Plateforme de Gestion Hôtelière</w:t>
      </w:r>
    </w:p>
    <w:p>
      <w:pPr>
        <w:jc w:val="center"/>
      </w:pPr>
      <w:r>
        <w:rPr>
          <w:i/>
          <w:color w:val="607D8B"/>
          <w:sz w:val="22"/>
        </w:rPr>
        <w:t>Document de soutenance — Mémoire de fin d'études</w:t>
      </w:r>
    </w:p>
    <w:p>
      <w:pPr>
        <w:jc w:val="center"/>
      </w:pPr>
      <w:r>
        <w:rPr>
          <w:color w:val="607D8B"/>
          <w:sz w:val="22"/>
        </w:rPr>
        <w:t>April 2026</w:t>
      </w:r>
    </w:p>
    <w:p>
      <w:r>
        <w:br w:type="page"/>
      </w:r>
    </w:p>
    <w:p>
      <w:pPr>
        <w:spacing w:before="360" w:after="120"/>
      </w:pPr>
      <w:r>
        <w:rPr>
          <w:b/>
          <w:color w:val="0D2137"/>
          <w:sz w:val="28"/>
        </w:rPr>
        <w:t>1. Présentation du module de prédiction</w:t>
      </w:r>
    </w:p>
    <w:p>
      <w:pPr>
        <w:pBdr>
          <w:bottom w:val="single" w:sz="6" w:space="1" w:color="1565C0"/>
        </w:pBdr>
        <w:spacing w:before="40" w:after="40"/>
      </w:pPr>
    </w:p>
    <w:p>
      <w:pPr>
        <w:spacing w:after="80"/>
      </w:pPr>
      <w:r>
        <w:rPr>
          <w:i w:val="0"/>
          <w:sz w:val="22"/>
        </w:rPr>
        <w:t>Le module de prédiction est le composant d'intelligence artificielle de la plateforme. Son rôle est d'analyser l'historique des réservations pour anticiper la demande future et fournir au gestionnaire des recommandations opérationnelles concrètes : ajustement tarifaire, lancement de promotions, anticipation des périodes chargées.</w:t>
      </w:r>
    </w:p>
    <w:p>
      <w:pPr>
        <w:spacing w:after="80"/>
      </w:pPr>
      <w:r>
        <w:rPr>
          <w:i w:val="0"/>
          <w:sz w:val="22"/>
        </w:rPr>
        <w:t>Ce module est architecturé comme un microservice indépendant, ce qui garantit une séparation claire des responsabilités et une maintenabilité optimale de l'ensemble du système.</w:t>
      </w:r>
    </w:p>
    <w:p>
      <w:pPr>
        <w:spacing w:before="360" w:after="120"/>
      </w:pPr>
      <w:r>
        <w:rPr>
          <w:b/>
          <w:color w:val="0D2137"/>
          <w:sz w:val="28"/>
        </w:rPr>
        <w:t>2. Architecture technique</w:t>
      </w:r>
    </w:p>
    <w:p>
      <w:pPr>
        <w:pBdr>
          <w:bottom w:val="single" w:sz="6" w:space="1" w:color="1565C0"/>
        </w:pBdr>
        <w:spacing w:before="40" w:after="40"/>
      </w:pPr>
    </w:p>
    <w:p>
      <w:pPr>
        <w:spacing w:before="240" w:after="80"/>
      </w:pPr>
      <w:r>
        <w:rPr>
          <w:b/>
          <w:color w:val="1565C0"/>
          <w:sz w:val="24"/>
        </w:rPr>
        <w:t>2.1 Les quatre services Docker</w:t>
      </w:r>
    </w:p>
    <w:p>
      <w:pPr>
        <w:spacing w:after="80"/>
      </w:pPr>
      <w:r>
        <w:rPr>
          <w:i w:val="0"/>
          <w:sz w:val="22"/>
        </w:rPr>
        <w:t>La plateforme est entièrement conteneurisée avec Docker Compose et repose sur quatre services :</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0D2137"/>
          </w:tcPr>
          <w:p>
            <w:r>
              <w:rPr>
                <w:b/>
                <w:color w:val="FFFFFF"/>
                <w:sz w:val="22"/>
              </w:rPr>
              <w:t>Service</w:t>
            </w:r>
          </w:p>
        </w:tc>
        <w:tc>
          <w:tcPr>
            <w:tcW w:type="dxa" w:w="4561"/>
            <w:shd w:val="clear" w:color="auto" w:fill="0D2137"/>
          </w:tcPr>
          <w:p>
            <w:r>
              <w:rPr>
                <w:b/>
                <w:color w:val="FFFFFF"/>
                <w:sz w:val="22"/>
              </w:rPr>
              <w:t>Rôle</w:t>
            </w:r>
          </w:p>
        </w:tc>
      </w:tr>
      <w:tr>
        <w:tc>
          <w:tcPr>
            <w:tcW w:type="dxa" w:w="4561"/>
            <w:shd w:val="clear" w:color="auto" w:fill="E3F2FD"/>
          </w:tcPr>
          <w:p>
            <w:r>
              <w:rPr>
                <w:sz w:val="20"/>
              </w:rPr>
              <w:t>MySQL (port 3307)</w:t>
            </w:r>
          </w:p>
        </w:tc>
        <w:tc>
          <w:tcPr>
            <w:tcW w:type="dxa" w:w="4561"/>
            <w:shd w:val="clear" w:color="auto" w:fill="E3F2FD"/>
          </w:tcPr>
          <w:p>
            <w:r>
              <w:rPr>
                <w:sz w:val="20"/>
              </w:rPr>
              <w:t>Base de données relationnelle — stocke les réservations, chambres, utilisateurs, prédictions et alertes.</w:t>
            </w:r>
          </w:p>
        </w:tc>
      </w:tr>
      <w:tr>
        <w:tc>
          <w:tcPr>
            <w:tcW w:type="dxa" w:w="4561"/>
            <w:shd w:val="clear" w:color="auto" w:fill="FFFFFF"/>
          </w:tcPr>
          <w:p>
            <w:r>
              <w:rPr>
                <w:sz w:val="20"/>
              </w:rPr>
              <w:t>Laravel / PHP (port 8000)</w:t>
            </w:r>
          </w:p>
        </w:tc>
        <w:tc>
          <w:tcPr>
            <w:tcW w:type="dxa" w:w="4561"/>
            <w:shd w:val="clear" w:color="auto" w:fill="FFFFFF"/>
          </w:tcPr>
          <w:p>
            <w:r>
              <w:rPr>
                <w:sz w:val="20"/>
              </w:rPr>
              <w:t>API REST backend — orchestre la logique métier, authentification Sanctum, et fait le pont entre le frontend et le service ML.</w:t>
            </w:r>
          </w:p>
        </w:tc>
      </w:tr>
      <w:tr>
        <w:tc>
          <w:tcPr>
            <w:tcW w:type="dxa" w:w="4561"/>
            <w:shd w:val="clear" w:color="auto" w:fill="E3F2FD"/>
          </w:tcPr>
          <w:p>
            <w:r>
              <w:rPr>
                <w:sz w:val="20"/>
              </w:rPr>
              <w:t>Flask / Python (port 5000)</w:t>
            </w:r>
          </w:p>
        </w:tc>
        <w:tc>
          <w:tcPr>
            <w:tcW w:type="dxa" w:w="4561"/>
            <w:shd w:val="clear" w:color="auto" w:fill="E3F2FD"/>
          </w:tcPr>
          <w:p>
            <w:r>
              <w:rPr>
                <w:sz w:val="20"/>
              </w:rPr>
              <w:t>Microservice ML — expose les endpoints /train et /predict, héberge les modèles XGBoost sérialisés.</w:t>
            </w:r>
          </w:p>
        </w:tc>
      </w:tr>
      <w:tr>
        <w:tc>
          <w:tcPr>
            <w:tcW w:type="dxa" w:w="4561"/>
            <w:shd w:val="clear" w:color="auto" w:fill="FFFFFF"/>
          </w:tcPr>
          <w:p>
            <w:r>
              <w:rPr>
                <w:sz w:val="20"/>
              </w:rPr>
              <w:t>React (port 3000)</w:t>
            </w:r>
          </w:p>
        </w:tc>
        <w:tc>
          <w:tcPr>
            <w:tcW w:type="dxa" w:w="4561"/>
            <w:shd w:val="clear" w:color="auto" w:fill="FFFFFF"/>
          </w:tcPr>
          <w:p>
            <w:r>
              <w:rPr>
                <w:sz w:val="20"/>
              </w:rPr>
              <w:t>Interface utilisateur — dashboard de visualisation, gestion des réservations, affichage des prédictions et alertes.</w:t>
            </w:r>
          </w:p>
        </w:tc>
      </w:tr>
    </w:tbl>
    <w:p>
      <w:pPr>
        <w:spacing w:after="80"/>
      </w:pPr>
    </w:p>
    <w:p>
      <w:pPr>
        <w:spacing w:before="240" w:after="80"/>
      </w:pPr>
      <w:r>
        <w:rPr>
          <w:b/>
          <w:color w:val="1565C0"/>
          <w:sz w:val="24"/>
        </w:rPr>
        <w:t>2.2 Flux de données</w:t>
      </w:r>
    </w:p>
    <w:p>
      <w:pPr>
        <w:spacing w:after="80"/>
      </w:pPr>
      <w:r>
        <w:rPr>
          <w:i w:val="0"/>
          <w:sz w:val="22"/>
        </w:rPr>
        <w:t>Le cycle complet d'une prédiction se déroule en cinq étapes :</w:t>
      </w:r>
    </w:p>
    <w:p>
      <w:pPr>
        <w:pStyle w:val="ListBullet"/>
        <w:spacing w:after="60"/>
      </w:pPr>
      <w:r>
        <w:rPr>
          <w:sz w:val="22"/>
        </w:rPr>
        <w:t>Étape 1 : Le gestionnaire clique « Actualiser prédictions » sur le dashboard.</w:t>
      </w:r>
    </w:p>
    <w:p>
      <w:pPr>
        <w:pStyle w:val="ListBullet"/>
        <w:spacing w:after="60"/>
      </w:pPr>
      <w:r>
        <w:rPr>
          <w:sz w:val="22"/>
        </w:rPr>
        <w:t>Étape 2 : Laravel (PredictionService) collecte les données historiques des réservations en base MySQL.</w:t>
      </w:r>
    </w:p>
    <w:p>
      <w:pPr>
        <w:pStyle w:val="ListBullet"/>
        <w:spacing w:after="60"/>
      </w:pPr>
      <w:r>
        <w:rPr>
          <w:sz w:val="22"/>
        </w:rPr>
        <w:t>Étape 3 : Laravel envoie ces données au service Flask via une requête HTTP POST /train.</w:t>
      </w:r>
    </w:p>
    <w:p>
      <w:pPr>
        <w:pStyle w:val="ListBullet"/>
        <w:spacing w:after="60"/>
      </w:pPr>
      <w:r>
        <w:rPr>
          <w:sz w:val="22"/>
        </w:rPr>
        <w:t>Étape 4 : Flask entraîne les modèles XGBoost et renvoie les métriques.</w:t>
      </w:r>
    </w:p>
    <w:p>
      <w:pPr>
        <w:pStyle w:val="ListBullet"/>
        <w:spacing w:after="60"/>
      </w:pPr>
      <w:r>
        <w:rPr>
          <w:sz w:val="22"/>
        </w:rPr>
        <w:t>Étape 5 : Laravel appelle /predict pour les 7 prochains jours, sauvegarde les prédictions en base, et génère les alertes.</w:t>
      </w:r>
    </w:p>
    <w:p>
      <w:pPr>
        <w:spacing w:before="360" w:after="120"/>
      </w:pPr>
      <w:r>
        <w:rPr>
          <w:b/>
          <w:color w:val="0D2137"/>
          <w:sz w:val="28"/>
        </w:rPr>
        <w:t>3. Algorithme : XGBoost</w:t>
      </w:r>
    </w:p>
    <w:p>
      <w:pPr>
        <w:pBdr>
          <w:bottom w:val="single" w:sz="6" w:space="1" w:color="1565C0"/>
        </w:pBdr>
        <w:spacing w:before="40" w:after="40"/>
      </w:pPr>
    </w:p>
    <w:p>
      <w:pPr>
        <w:spacing w:after="80"/>
      </w:pPr>
      <w:r>
        <w:rPr>
          <w:i w:val="0"/>
          <w:sz w:val="22"/>
        </w:rPr>
        <w:t>L'algorithme retenu est XGBoost (eXtreme Gradient Boosting), un algorithme d'ensemble basé sur des arbres de décision. Ce choix est justifié par plusieurs raisons :</w:t>
      </w:r>
    </w:p>
    <w:p>
      <w:pPr>
        <w:pStyle w:val="ListBullet"/>
        <w:spacing w:after="60"/>
      </w:pPr>
      <w:r>
        <w:rPr>
          <w:b/>
          <w:sz w:val="22"/>
        </w:rPr>
        <w:t>Robustesse</w:t>
      </w:r>
      <w:r>
        <w:rPr>
          <w:sz w:val="22"/>
        </w:rPr>
        <w:t xml:space="preserve"> aux données tabulaires structurées (notre cas d'usage).</w:t>
      </w:r>
    </w:p>
    <w:p>
      <w:pPr>
        <w:pStyle w:val="ListBullet"/>
        <w:spacing w:after="60"/>
      </w:pPr>
      <w:r>
        <w:rPr>
          <w:b/>
          <w:sz w:val="22"/>
        </w:rPr>
        <w:t>Gestion</w:t>
      </w:r>
      <w:r>
        <w:rPr>
          <w:sz w:val="22"/>
        </w:rPr>
        <w:t xml:space="preserve"> native des valeurs manquantes.</w:t>
      </w:r>
    </w:p>
    <w:p>
      <w:pPr>
        <w:pStyle w:val="ListBullet"/>
        <w:spacing w:after="60"/>
      </w:pPr>
      <w:r>
        <w:rPr>
          <w:b/>
          <w:sz w:val="22"/>
        </w:rPr>
        <w:t>Régularisation</w:t>
      </w:r>
      <w:r>
        <w:rPr>
          <w:sz w:val="22"/>
        </w:rPr>
        <w:t xml:space="preserve"> L1/L2 intégrée pour éviter le surapprentissage.</w:t>
      </w:r>
    </w:p>
    <w:p>
      <w:pPr>
        <w:pStyle w:val="ListBullet"/>
        <w:spacing w:after="60"/>
      </w:pPr>
      <w:r>
        <w:rPr>
          <w:b/>
          <w:sz w:val="22"/>
        </w:rPr>
        <w:t>Performances</w:t>
      </w:r>
      <w:r>
        <w:rPr>
          <w:sz w:val="22"/>
        </w:rPr>
        <w:t xml:space="preserve"> supérieures aux modèles linéaires sur des patterns non-linéaires (saisonnalité, effets week-end...).</w:t>
      </w:r>
    </w:p>
    <w:p>
      <w:pPr>
        <w:spacing w:before="240" w:after="80"/>
      </w:pPr>
      <w:r>
        <w:rPr>
          <w:b/>
          <w:color w:val="1565C0"/>
          <w:sz w:val="24"/>
        </w:rPr>
        <w:t>3.1 Les trois modèles entraînés</w:t>
      </w:r>
    </w:p>
    <w:p>
      <w:pPr>
        <w:spacing w:after="80"/>
      </w:pPr>
      <w:r>
        <w:rPr>
          <w:i w:val="0"/>
          <w:sz w:val="22"/>
        </w:rPr>
        <w:t>Trois modèles XGBoost distincts sont entraînés, chacun prédit une variable cible :</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1565C0"/>
          </w:tcPr>
          <w:p>
            <w:r>
              <w:rPr>
                <w:b/>
                <w:color w:val="FFFFFF"/>
                <w:sz w:val="22"/>
              </w:rPr>
              <w:t>Modèle</w:t>
            </w:r>
          </w:p>
        </w:tc>
        <w:tc>
          <w:tcPr>
            <w:tcW w:type="dxa" w:w="4561"/>
            <w:shd w:val="clear" w:color="auto" w:fill="1565C0"/>
          </w:tcPr>
          <w:p>
            <w:r>
              <w:rPr>
                <w:b/>
                <w:color w:val="FFFFFF"/>
                <w:sz w:val="22"/>
              </w:rPr>
              <w:t>Variable prédite</w:t>
            </w:r>
          </w:p>
        </w:tc>
      </w:tr>
      <w:tr>
        <w:tc>
          <w:tcPr>
            <w:tcW w:type="dxa" w:w="4561"/>
            <w:shd w:val="clear" w:color="auto" w:fill="E8F5E9"/>
          </w:tcPr>
          <w:p>
            <w:r>
              <w:rPr>
                <w:sz w:val="20"/>
              </w:rPr>
              <w:t>nb_reservations</w:t>
            </w:r>
          </w:p>
        </w:tc>
        <w:tc>
          <w:tcPr>
            <w:tcW w:type="dxa" w:w="4561"/>
            <w:shd w:val="clear" w:color="auto" w:fill="E8F5E9"/>
          </w:tcPr>
          <w:p>
            <w:r>
              <w:rPr>
                <w:sz w:val="20"/>
              </w:rPr>
              <w:t>Nombre de réservations attendu par jour</w:t>
            </w:r>
          </w:p>
        </w:tc>
      </w:tr>
      <w:tr>
        <w:tc>
          <w:tcPr>
            <w:tcW w:type="dxa" w:w="4561"/>
            <w:shd w:val="clear" w:color="auto" w:fill="FFFFFF"/>
          </w:tcPr>
          <w:p>
            <w:r>
              <w:rPr>
                <w:sz w:val="20"/>
              </w:rPr>
              <w:t>nb_last_minute</w:t>
            </w:r>
          </w:p>
        </w:tc>
        <w:tc>
          <w:tcPr>
            <w:tcW w:type="dxa" w:w="4561"/>
            <w:shd w:val="clear" w:color="auto" w:fill="FFFFFF"/>
          </w:tcPr>
          <w:p>
            <w:r>
              <w:rPr>
                <w:sz w:val="20"/>
              </w:rPr>
              <w:t>Nombre de réservations last-minute attendu par jour</w:t>
            </w:r>
          </w:p>
        </w:tc>
      </w:tr>
      <w:tr>
        <w:tc>
          <w:tcPr>
            <w:tcW w:type="dxa" w:w="4561"/>
            <w:shd w:val="clear" w:color="auto" w:fill="E8F5E9"/>
          </w:tcPr>
          <w:p>
            <w:r>
              <w:rPr>
                <w:sz w:val="20"/>
              </w:rPr>
              <w:t>taux_occupation</w:t>
            </w:r>
          </w:p>
        </w:tc>
        <w:tc>
          <w:tcPr>
            <w:tcW w:type="dxa" w:w="4561"/>
            <w:shd w:val="clear" w:color="auto" w:fill="E8F5E9"/>
          </w:tcPr>
          <w:p>
            <w:r>
              <w:rPr>
                <w:sz w:val="20"/>
              </w:rPr>
              <w:t>Taux d'occupation prédit en pourcentage (0–100%)</w:t>
            </w:r>
          </w:p>
        </w:tc>
      </w:tr>
    </w:tbl>
    <w:p>
      <w:pPr>
        <w:spacing w:after="80"/>
      </w:pPr>
    </w:p>
    <w:p>
      <w:pPr>
        <w:spacing w:before="240" w:after="80"/>
      </w:pPr>
      <w:r>
        <w:rPr>
          <w:b/>
          <w:color w:val="1565C0"/>
          <w:sz w:val="24"/>
        </w:rPr>
        <w:t>3.2 Variables d'entrée (features)</w:t>
      </w:r>
    </w:p>
    <w:p>
      <w:pPr>
        <w:spacing w:after="80"/>
      </w:pPr>
      <w:r>
        <w:rPr>
          <w:i w:val="0"/>
          <w:sz w:val="22"/>
        </w:rPr>
        <w:t>Pour chaque jour à prédire, le modèle reçoit un vecteur de 15 variables :</w:t>
      </w:r>
    </w:p>
    <w:p>
      <w:pPr>
        <w:pStyle w:val="ListBullet"/>
        <w:spacing w:after="60"/>
      </w:pPr>
      <w:r>
        <w:rPr>
          <w:b/>
          <w:sz w:val="22"/>
        </w:rPr>
        <w:t xml:space="preserve">Temporelles : </w:t>
      </w:r>
      <w:r>
        <w:rPr>
          <w:sz w:val="22"/>
        </w:rPr>
        <w:t>annee, mois, jour, jour_semaine, trimestre</w:t>
      </w:r>
    </w:p>
    <w:p>
      <w:pPr>
        <w:pStyle w:val="ListBullet"/>
        <w:spacing w:after="60"/>
      </w:pPr>
      <w:r>
        <w:rPr>
          <w:b/>
          <w:sz w:val="22"/>
        </w:rPr>
        <w:t xml:space="preserve">Cycliques (encodage sinusoïdal) : </w:t>
      </w:r>
      <w:r>
        <w:rPr>
          <w:sz w:val="22"/>
        </w:rPr>
        <w:t>mois_sin, mois_cos, jour_sem_sin, jour_sem_cos — permettent au modèle de comprendre la continuité du calendrier (décembre → janvier)</w:t>
      </w:r>
    </w:p>
    <w:p>
      <w:pPr>
        <w:pStyle w:val="ListBullet"/>
        <w:spacing w:after="60"/>
      </w:pPr>
      <w:r>
        <w:rPr>
          <w:b/>
          <w:sz w:val="22"/>
        </w:rPr>
        <w:t xml:space="preserve">Binaires : </w:t>
      </w:r>
      <w:r>
        <w:rPr>
          <w:sz w:val="22"/>
        </w:rPr>
        <w:t>est_weekend, est_debut_mois, est_fin_mois</w:t>
      </w:r>
    </w:p>
    <w:p>
      <w:pPr>
        <w:pStyle w:val="ListBullet"/>
        <w:spacing w:after="60"/>
      </w:pPr>
      <w:r>
        <w:rPr>
          <w:b/>
          <w:sz w:val="22"/>
        </w:rPr>
        <w:t xml:space="preserve">Saisonnières (Cameroun) : </w:t>
      </w:r>
      <w:r>
        <w:rPr>
          <w:sz w:val="22"/>
        </w:rPr>
        <w:t>saison_pluies_courte (mars-mai), saison_pluies_longue (juin-oct), saison_seche_courte (nov-déc)</w:t>
      </w:r>
    </w:p>
    <w:p>
      <w:pPr>
        <w:spacing w:after="80"/>
        <w:ind w:left="567"/>
      </w:pPr>
      <w:r>
        <w:rPr>
          <w:i/>
          <w:color w:val="607D8B"/>
          <w:sz w:val="22"/>
        </w:rPr>
        <w:t>L'encodage sinusoïdal des variables temporelles est une technique standard en ML qui permet de représenter la cyclicité du temps. Sans cet encodage, le modèle traiterait décembre (mois=12) et janvier (mois=1) comme très éloignés, alors qu'ils sont consécutifs.</w:t>
      </w:r>
    </w:p>
    <w:p>
      <w:pPr>
        <w:spacing w:before="360" w:after="120"/>
      </w:pPr>
      <w:r>
        <w:rPr>
          <w:b/>
          <w:color w:val="0D2137"/>
          <w:sz w:val="28"/>
        </w:rPr>
        <w:t>4. Système d'alertes automatiques</w:t>
      </w:r>
    </w:p>
    <w:p>
      <w:pPr>
        <w:pBdr>
          <w:bottom w:val="single" w:sz="6" w:space="1" w:color="1565C0"/>
        </w:pBdr>
        <w:spacing w:before="40" w:after="40"/>
      </w:pPr>
    </w:p>
    <w:p>
      <w:pPr>
        <w:spacing w:after="80"/>
      </w:pPr>
      <w:r>
        <w:rPr>
          <w:i w:val="0"/>
          <w:sz w:val="22"/>
        </w:rPr>
        <w:t>À chaque génération de prédictions, le système analyse automatiquement le taux d'occupation prédit et crée des alertes proactives pour le gestionnaire :</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0D2137"/>
          </w:tcPr>
          <w:p>
            <w:r>
              <w:rPr>
                <w:b/>
                <w:color w:val="FFFFFF"/>
                <w:sz w:val="20"/>
              </w:rPr>
              <w:t>Type d'alerte</w:t>
            </w:r>
          </w:p>
        </w:tc>
        <w:tc>
          <w:tcPr>
            <w:tcW w:type="dxa" w:w="3041"/>
            <w:shd w:val="clear" w:color="auto" w:fill="0D2137"/>
          </w:tcPr>
          <w:p>
            <w:r>
              <w:rPr>
                <w:b/>
                <w:color w:val="FFFFFF"/>
                <w:sz w:val="20"/>
              </w:rPr>
              <w:t>Condition</w:t>
            </w:r>
          </w:p>
        </w:tc>
        <w:tc>
          <w:tcPr>
            <w:tcW w:type="dxa" w:w="3041"/>
            <w:shd w:val="clear" w:color="auto" w:fill="0D2137"/>
          </w:tcPr>
          <w:p>
            <w:r>
              <w:rPr>
                <w:b/>
                <w:color w:val="FFFFFF"/>
                <w:sz w:val="20"/>
              </w:rPr>
              <w:t>Action recommandée</w:t>
            </w:r>
          </w:p>
        </w:tc>
      </w:tr>
      <w:tr>
        <w:tc>
          <w:tcPr>
            <w:tcW w:type="dxa" w:w="3041"/>
            <w:shd w:val="clear" w:color="auto" w:fill="FFEBEE"/>
          </w:tcPr>
          <w:p>
            <w:r>
              <w:rPr>
                <w:sz w:val="20"/>
              </w:rPr>
              <w:t>Forte demande (rouge)</w:t>
            </w:r>
          </w:p>
        </w:tc>
        <w:tc>
          <w:tcPr>
            <w:tcW w:type="dxa" w:w="3041"/>
            <w:shd w:val="clear" w:color="auto" w:fill="FFEBEE"/>
          </w:tcPr>
          <w:p>
            <w:r>
              <w:rPr>
                <w:sz w:val="20"/>
              </w:rPr>
              <w:t>taux_occupation ≥ 80%</w:t>
            </w:r>
          </w:p>
        </w:tc>
        <w:tc>
          <w:tcPr>
            <w:tcW w:type="dxa" w:w="3041"/>
            <w:shd w:val="clear" w:color="auto" w:fill="FFEBEE"/>
          </w:tcPr>
          <w:p>
            <w:r>
              <w:rPr>
                <w:sz w:val="20"/>
              </w:rPr>
              <w:t>Recommande une hausse tarifaire de 20% pour maximiser les revenus.</w:t>
            </w:r>
          </w:p>
        </w:tc>
      </w:tr>
      <w:tr>
        <w:tc>
          <w:tcPr>
            <w:tcW w:type="dxa" w:w="3041"/>
            <w:shd w:val="clear" w:color="auto" w:fill="E8F5E9"/>
          </w:tcPr>
          <w:p>
            <w:r>
              <w:rPr>
                <w:sz w:val="20"/>
              </w:rPr>
              <w:t>Demande normale (vert)</w:t>
            </w:r>
          </w:p>
        </w:tc>
        <w:tc>
          <w:tcPr>
            <w:tcW w:type="dxa" w:w="3041"/>
            <w:shd w:val="clear" w:color="auto" w:fill="E8F5E9"/>
          </w:tcPr>
          <w:p>
            <w:r>
              <w:rPr>
                <w:sz w:val="20"/>
              </w:rPr>
              <w:t>40% ≤ taux &lt; 80%</w:t>
            </w:r>
          </w:p>
        </w:tc>
        <w:tc>
          <w:tcPr>
            <w:tcW w:type="dxa" w:w="3041"/>
            <w:shd w:val="clear" w:color="auto" w:fill="E8F5E9"/>
          </w:tcPr>
          <w:p>
            <w:r>
              <w:rPr>
                <w:sz w:val="20"/>
              </w:rPr>
              <w:t>Aucune alerte — situation standard.</w:t>
            </w:r>
          </w:p>
        </w:tc>
      </w:tr>
      <w:tr>
        <w:tc>
          <w:tcPr>
            <w:tcW w:type="dxa" w:w="3041"/>
            <w:shd w:val="clear" w:color="auto" w:fill="FFF8E1"/>
          </w:tcPr>
          <w:p>
            <w:r>
              <w:rPr>
                <w:sz w:val="20"/>
              </w:rPr>
              <w:t>Faible demande (orange)</w:t>
            </w:r>
          </w:p>
        </w:tc>
        <w:tc>
          <w:tcPr>
            <w:tcW w:type="dxa" w:w="3041"/>
            <w:shd w:val="clear" w:color="auto" w:fill="FFF8E1"/>
          </w:tcPr>
          <w:p>
            <w:r>
              <w:rPr>
                <w:sz w:val="20"/>
              </w:rPr>
              <w:t>taux &lt; 40%</w:t>
            </w:r>
          </w:p>
        </w:tc>
        <w:tc>
          <w:tcPr>
            <w:tcW w:type="dxa" w:w="3041"/>
            <w:shd w:val="clear" w:color="auto" w:fill="FFF8E1"/>
          </w:tcPr>
          <w:p>
            <w:r>
              <w:rPr>
                <w:sz w:val="20"/>
              </w:rPr>
              <w:t>Recommande de lancer des promotions pour stimuler les réservations.</w:t>
            </w:r>
          </w:p>
        </w:tc>
      </w:tr>
    </w:tbl>
    <w:p>
      <w:pPr>
        <w:spacing w:after="80"/>
      </w:pPr>
    </w:p>
    <w:p>
      <w:pPr>
        <w:spacing w:after="80"/>
      </w:pPr>
      <w:r>
        <w:rPr>
          <w:i w:val="0"/>
          <w:sz w:val="22"/>
        </w:rPr>
        <w:t>Le gestionnaire peut marquer chaque alerte comme lue (bouton ✓). Les alertes sont automatiquement nettoyées et remplacées à chaque actualisation des prédictions, évitant toute accumulation d'informations obsolètes.</w:t>
      </w:r>
    </w:p>
    <w:p>
      <w:pPr>
        <w:spacing w:before="360" w:after="120"/>
      </w:pPr>
      <w:r>
        <w:rPr>
          <w:b/>
          <w:color w:val="0D2137"/>
          <w:sz w:val="28"/>
        </w:rPr>
        <w:t>5. Recommandation tarifaire dynamique</w:t>
      </w:r>
    </w:p>
    <w:p>
      <w:pPr>
        <w:pBdr>
          <w:bottom w:val="single" w:sz="6" w:space="1" w:color="1565C0"/>
        </w:pBdr>
        <w:spacing w:before="40" w:after="40"/>
      </w:pPr>
    </w:p>
    <w:p>
      <w:pPr>
        <w:spacing w:after="80"/>
      </w:pPr>
      <w:r>
        <w:rPr>
          <w:i w:val="0"/>
          <w:sz w:val="22"/>
        </w:rPr>
        <w:t>Sur la base du taux d'occupation prédit, le système calcule automatiquement un prix recommandé par nuit. Ce mécanisme s'inspire du revenue management pratiqué dans les chaînes hôtelières internationales :</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565C0"/>
          </w:tcPr>
          <w:p>
            <w:r>
              <w:rPr>
                <w:b/>
                <w:color w:val="FFFFFF"/>
                <w:sz w:val="20"/>
              </w:rPr>
              <w:t>Niveau de demande</w:t>
            </w:r>
          </w:p>
        </w:tc>
        <w:tc>
          <w:tcPr>
            <w:tcW w:type="dxa" w:w="3041"/>
            <w:shd w:val="clear" w:color="auto" w:fill="1565C0"/>
          </w:tcPr>
          <w:p>
            <w:r>
              <w:rPr>
                <w:b/>
                <w:color w:val="FFFFFF"/>
                <w:sz w:val="20"/>
              </w:rPr>
              <w:t>Ajustement</w:t>
            </w:r>
          </w:p>
        </w:tc>
        <w:tc>
          <w:tcPr>
            <w:tcW w:type="dxa" w:w="3041"/>
            <w:shd w:val="clear" w:color="auto" w:fill="1565C0"/>
          </w:tcPr>
          <w:p>
            <w:r>
              <w:rPr>
                <w:b/>
                <w:color w:val="FFFFFF"/>
                <w:sz w:val="20"/>
              </w:rPr>
              <w:t>Objectif</w:t>
            </w:r>
          </w:p>
        </w:tc>
      </w:tr>
      <w:tr>
        <w:tc>
          <w:tcPr>
            <w:tcW w:type="dxa" w:w="3041"/>
            <w:shd w:val="clear" w:color="auto" w:fill="FFEBEE"/>
          </w:tcPr>
          <w:p>
            <w:r>
              <w:rPr>
                <w:sz w:val="20"/>
              </w:rPr>
              <w:t>Forte demande (≥ 80%)</w:t>
            </w:r>
          </w:p>
        </w:tc>
        <w:tc>
          <w:tcPr>
            <w:tcW w:type="dxa" w:w="3041"/>
            <w:shd w:val="clear" w:color="auto" w:fill="FFEBEE"/>
          </w:tcPr>
          <w:p>
            <w:r>
              <w:rPr>
                <w:sz w:val="20"/>
              </w:rPr>
              <w:t>+20%</w:t>
            </w:r>
          </w:p>
        </w:tc>
        <w:tc>
          <w:tcPr>
            <w:tcW w:type="dxa" w:w="3041"/>
            <w:shd w:val="clear" w:color="auto" w:fill="FFEBEE"/>
          </w:tcPr>
          <w:p>
            <w:r>
              <w:rPr>
                <w:sz w:val="20"/>
              </w:rPr>
              <w:t>Maximiser le revenu en période de saturation</w:t>
            </w:r>
          </w:p>
        </w:tc>
      </w:tr>
      <w:tr>
        <w:tc>
          <w:tcPr>
            <w:tcW w:type="dxa" w:w="3041"/>
            <w:shd w:val="clear" w:color="auto" w:fill="FFFFFF"/>
          </w:tcPr>
          <w:p>
            <w:r>
              <w:rPr>
                <w:sz w:val="20"/>
              </w:rPr>
              <w:t>Demande normale (40–79%)</w:t>
            </w:r>
          </w:p>
        </w:tc>
        <w:tc>
          <w:tcPr>
            <w:tcW w:type="dxa" w:w="3041"/>
            <w:shd w:val="clear" w:color="auto" w:fill="FFFFFF"/>
          </w:tcPr>
          <w:p>
            <w:r>
              <w:rPr>
                <w:sz w:val="20"/>
              </w:rPr>
              <w:t>±0%</w:t>
            </w:r>
          </w:p>
        </w:tc>
        <w:tc>
          <w:tcPr>
            <w:tcW w:type="dxa" w:w="3041"/>
            <w:shd w:val="clear" w:color="auto" w:fill="FFFFFF"/>
          </w:tcPr>
          <w:p>
            <w:r>
              <w:rPr>
                <w:sz w:val="20"/>
              </w:rPr>
              <w:t>Maintien du prix standard</w:t>
            </w:r>
          </w:p>
        </w:tc>
      </w:tr>
      <w:tr>
        <w:tc>
          <w:tcPr>
            <w:tcW w:type="dxa" w:w="3041"/>
            <w:shd w:val="clear" w:color="auto" w:fill="E8F5E9"/>
          </w:tcPr>
          <w:p>
            <w:r>
              <w:rPr>
                <w:sz w:val="20"/>
              </w:rPr>
              <w:t>Faible demande (&lt; 40%)</w:t>
            </w:r>
          </w:p>
        </w:tc>
        <w:tc>
          <w:tcPr>
            <w:tcW w:type="dxa" w:w="3041"/>
            <w:shd w:val="clear" w:color="auto" w:fill="E8F5E9"/>
          </w:tcPr>
          <w:p>
            <w:r>
              <w:rPr>
                <w:sz w:val="20"/>
              </w:rPr>
              <w:t>−15%</w:t>
            </w:r>
          </w:p>
        </w:tc>
        <w:tc>
          <w:tcPr>
            <w:tcW w:type="dxa" w:w="3041"/>
            <w:shd w:val="clear" w:color="auto" w:fill="E8F5E9"/>
          </w:tcPr>
          <w:p>
            <w:r>
              <w:rPr>
                <w:sz w:val="20"/>
              </w:rPr>
              <w:t>Stimuler les réservations par une tarification attractive</w:t>
            </w:r>
          </w:p>
        </w:tc>
      </w:tr>
    </w:tbl>
    <w:p>
      <w:pPr>
        <w:spacing w:after="80"/>
      </w:pPr>
    </w:p>
    <w:p>
      <w:pPr>
        <w:spacing w:before="360" w:after="120"/>
      </w:pPr>
      <w:r>
        <w:rPr>
          <w:b/>
          <w:color w:val="0D2137"/>
          <w:sz w:val="28"/>
        </w:rPr>
        <w:t>6. Données d'entraînement</w:t>
      </w:r>
    </w:p>
    <w:p>
      <w:pPr>
        <w:pBdr>
          <w:bottom w:val="single" w:sz="6" w:space="1" w:color="1565C0"/>
        </w:pBdr>
        <w:spacing w:before="40" w:after="40"/>
      </w:pPr>
    </w:p>
    <w:p>
      <w:pPr>
        <w:spacing w:after="80"/>
      </w:pPr>
      <w:r>
        <w:rPr>
          <w:i w:val="0"/>
          <w:sz w:val="22"/>
        </w:rPr>
        <w:t>Le modèle a été entraîné sur un jeu de données de 840 réservations couvrant 11 mois (juillet 2025 – juin 2026), générées avec des patterns réalistes :</w:t>
      </w:r>
    </w:p>
    <w:p>
      <w:pPr>
        <w:pStyle w:val="ListBullet"/>
        <w:spacing w:after="60"/>
      </w:pPr>
      <w:r>
        <w:rPr>
          <w:sz w:val="22"/>
        </w:rPr>
        <w:t>30 profils clients camerounais distincts</w:t>
      </w:r>
    </w:p>
    <w:p>
      <w:pPr>
        <w:pStyle w:val="ListBullet"/>
        <w:spacing w:after="60"/>
      </w:pPr>
      <w:r>
        <w:rPr>
          <w:sz w:val="22"/>
        </w:rPr>
        <w:t>Saisonnalité adaptée au contexte camerounais (saisons des pluies/sèches)</w:t>
      </w:r>
    </w:p>
    <w:p>
      <w:pPr>
        <w:pStyle w:val="ListBullet"/>
        <w:spacing w:after="60"/>
      </w:pPr>
      <w:r>
        <w:rPr>
          <w:sz w:val="22"/>
        </w:rPr>
        <w:t>25% de réservations last-minute (délai ≤ 2 jours avant arrivée)</w:t>
      </w:r>
    </w:p>
    <w:p>
      <w:pPr>
        <w:pStyle w:val="ListBullet"/>
        <w:spacing w:after="60"/>
      </w:pPr>
      <w:r>
        <w:rPr>
          <w:sz w:val="22"/>
        </w:rPr>
        <w:t>Distribution réaliste : durées de séjour 1–7 nuits, taux d'occupation variable par mois</w:t>
      </w:r>
    </w:p>
    <w:p>
      <w:pPr>
        <w:pStyle w:val="ListBullet"/>
        <w:spacing w:after="60"/>
      </w:pPr>
      <w:r>
        <w:rPr>
          <w:sz w:val="22"/>
        </w:rPr>
        <w:t>Insertion via DB::table() pour bypasser les events Eloquent et garantir la cohérence des données</w:t>
      </w:r>
    </w:p>
    <w:p>
      <w:pPr>
        <w:spacing w:before="360" w:after="120"/>
      </w:pPr>
      <w:r>
        <w:rPr>
          <w:b/>
          <w:color w:val="0D2137"/>
          <w:sz w:val="28"/>
        </w:rPr>
        <w:t>7. Limites et perspectives d'amélioration</w:t>
      </w:r>
    </w:p>
    <w:p>
      <w:pPr>
        <w:pBdr>
          <w:bottom w:val="single" w:sz="6" w:space="1" w:color="1565C0"/>
        </w:pBdr>
        <w:spacing w:before="40" w:after="40"/>
      </w:pPr>
    </w:p>
    <w:p>
      <w:pPr>
        <w:spacing w:after="80"/>
      </w:pPr>
      <w:r>
        <w:rPr>
          <w:i w:val="0"/>
          <w:sz w:val="22"/>
        </w:rPr>
        <w:t>Dans un cadre académique, certaines limites sont inhérentes au prototype :</w:t>
      </w:r>
    </w:p>
    <w:p>
      <w:pPr>
        <w:pStyle w:val="ListBullet"/>
        <w:spacing w:after="60"/>
      </w:pPr>
      <w:r>
        <w:rPr>
          <w:sz w:val="22"/>
        </w:rPr>
        <w:t>Données synthétiques : le modèle est entraîné sur des données simulées, non sur un historique réel d'exploitation hôtelière. Les métriques (R²) s'amélioreront significativement avec des données réelles accumulées sur 2–3 ans.</w:t>
      </w:r>
    </w:p>
    <w:p>
      <w:pPr>
        <w:pStyle w:val="ListBullet"/>
        <w:spacing w:after="60"/>
      </w:pPr>
      <w:r>
        <w:rPr>
          <w:sz w:val="22"/>
        </w:rPr>
        <w:t>Volume limité : 840 réservations constituent un corpus suffisant pour valider l'architecture, mais insuffisant pour atteindre une précision de production.</w:t>
      </w:r>
    </w:p>
    <w:p>
      <w:pPr>
        <w:pStyle w:val="ListBullet"/>
        <w:spacing w:after="60"/>
      </w:pPr>
      <w:r>
        <w:rPr>
          <w:sz w:val="22"/>
        </w:rPr>
        <w:t>Absence de features exogènes : événements locaux, jours fériés, météo — des variables qui influencent fortement la demande hôtelière.</w:t>
      </w:r>
    </w:p>
    <w:p>
      <w:pPr>
        <w:spacing w:after="80"/>
      </w:pPr>
      <w:r>
        <w:rPr>
          <w:i w:val="0"/>
          <w:sz w:val="22"/>
        </w:rPr>
        <w:t>Ces limites identifiées constituent précisément les perspectives d'évolution du système :</w:t>
      </w:r>
    </w:p>
    <w:p>
      <w:pPr>
        <w:pStyle w:val="ListBullet"/>
        <w:spacing w:after="60"/>
      </w:pPr>
      <w:r>
        <w:rPr>
          <w:sz w:val="22"/>
        </w:rPr>
        <w:t>Intégration de données réelles dès la mise en production (les modèles se réentraînent automatiquement)</w:t>
      </w:r>
    </w:p>
    <w:p>
      <w:pPr>
        <w:pStyle w:val="ListBullet"/>
        <w:spacing w:after="60"/>
      </w:pPr>
      <w:r>
        <w:rPr>
          <w:sz w:val="22"/>
        </w:rPr>
        <w:t>Ajout de variables exogènes (calendrier des événements, vacances scolaires)</w:t>
      </w:r>
    </w:p>
    <w:p>
      <w:pPr>
        <w:pStyle w:val="ListBullet"/>
        <w:spacing w:after="60"/>
      </w:pPr>
      <w:r>
        <w:rPr>
          <w:sz w:val="22"/>
        </w:rPr>
        <w:t>Mise en place d'un réentraînement automatique mensuel via le scheduler Laravel</w:t>
      </w:r>
    </w:p>
    <w:p>
      <w:pPr>
        <w:pStyle w:val="ListBullet"/>
        <w:spacing w:after="60"/>
      </w:pPr>
      <w:r>
        <w:rPr>
          <w:sz w:val="22"/>
        </w:rPr>
        <w:t>Extension des prédictions sur 30 jours glissants</w:t>
      </w:r>
    </w:p>
    <w:p>
      <w:pPr>
        <w:spacing w:before="360" w:after="120"/>
      </w:pPr>
      <w:r>
        <w:rPr>
          <w:b/>
          <w:color w:val="0D2137"/>
          <w:sz w:val="28"/>
        </w:rPr>
        <w:t>8. Réponses aux questions fréquentes du jury</w:t>
      </w:r>
    </w:p>
    <w:p>
      <w:pPr>
        <w:pBdr>
          <w:bottom w:val="single" w:sz="6" w:space="1" w:color="1565C0"/>
        </w:pBdr>
        <w:spacing w:before="40" w:after="40"/>
      </w:pPr>
    </w:p>
    <w:p>
      <w:pPr>
        <w:spacing w:before="160"/>
      </w:pPr>
      <w:r>
        <w:rPr>
          <w:b/>
          <w:color w:val="0D2137"/>
          <w:sz w:val="22"/>
        </w:rPr>
        <w:t>Q : Pourquoi XGBoost plutôt qu'un réseau de neurones ?</w:t>
      </w:r>
    </w:p>
    <w:tbl>
      <w:tblPr>
        <w:tblW w:type="auto" w:w="0"/>
        <w:jc w:val="left"/>
        <w:tblLook w:firstColumn="1" w:firstRow="1" w:lastColumn="0" w:lastRow="0" w:noHBand="0" w:noVBand="1" w:val="04A0"/>
      </w:tblPr>
      <w:tblGrid>
        <w:gridCol w:w="9122"/>
      </w:tblGrid>
      <w:tr>
        <w:tc>
          <w:tcPr>
            <w:tcW w:type="dxa" w:w="8640"/>
            <w:shd w:val="clear" w:color="auto" w:fill="F4F7FA"/>
          </w:tcPr>
          <w:p>
            <w:pPr>
              <w:spacing w:before="80" w:after="80"/>
              <w:ind w:left="170" w:right="170"/>
            </w:pPr>
            <w:r>
              <w:rPr>
                <w:i/>
                <w:sz w:val="22"/>
              </w:rPr>
              <w:t>R : Les réseaux de neurones nécessitent de très grands volumes de données (plusieurs dizaines de milliers d'observations) pour surpasser XGBoost sur des données tabulaires structurées. Avec 840 observations et 15 features, XGBoost est le choix optimal. C'est d'ailleurs l'algorithme dominant dans les compétitions Kaggle sur données tabulaires.</w:t>
            </w:r>
          </w:p>
        </w:tc>
      </w:tr>
    </w:tbl>
    <w:p>
      <w:pPr>
        <w:spacing w:after="40"/>
      </w:pPr>
    </w:p>
    <w:p>
      <w:pPr>
        <w:spacing w:before="160"/>
      </w:pPr>
      <w:r>
        <w:rPr>
          <w:b/>
          <w:color w:val="0D2137"/>
          <w:sz w:val="22"/>
        </w:rPr>
        <w:t>Q : La prédiction semble incorrecte pour certaines dates — est-ce un bug ?</w:t>
      </w:r>
    </w:p>
    <w:tbl>
      <w:tblPr>
        <w:tblW w:type="auto" w:w="0"/>
        <w:jc w:val="left"/>
        <w:tblLook w:firstColumn="1" w:firstRow="1" w:lastColumn="0" w:lastRow="0" w:noHBand="0" w:noVBand="1" w:val="04A0"/>
      </w:tblPr>
      <w:tblGrid>
        <w:gridCol w:w="9122"/>
      </w:tblGrid>
      <w:tr>
        <w:tc>
          <w:tcPr>
            <w:tcW w:type="dxa" w:w="8640"/>
            <w:shd w:val="clear" w:color="auto" w:fill="F4F7FA"/>
          </w:tcPr>
          <w:p>
            <w:pPr>
              <w:spacing w:before="80" w:after="80"/>
              <w:ind w:left="170" w:right="170"/>
            </w:pPr>
            <w:r>
              <w:rPr>
                <w:i/>
                <w:sz w:val="22"/>
              </w:rPr>
              <w:t>R : Non, c'est une caractéristique inhérente à tout système de prédiction. Les prédictions sont des estimations probabilistes basées sur des patterns historiques, pas des comptages de réservations existantes. La précision s'améliore avec le volume de données réelles. L'architecture de réentraînement automatique est précisément conçue pour que le modèle s'améliore en production.</w:t>
            </w:r>
          </w:p>
        </w:tc>
      </w:tr>
    </w:tbl>
    <w:p>
      <w:pPr>
        <w:spacing w:after="40"/>
      </w:pPr>
    </w:p>
    <w:p>
      <w:pPr>
        <w:spacing w:before="160"/>
      </w:pPr>
      <w:r>
        <w:rPr>
          <w:b/>
          <w:color w:val="0D2137"/>
          <w:sz w:val="22"/>
        </w:rPr>
        <w:t>Q : Comment valider la qualité du modèle ?</w:t>
      </w:r>
    </w:p>
    <w:tbl>
      <w:tblPr>
        <w:tblW w:type="auto" w:w="0"/>
        <w:jc w:val="left"/>
        <w:tblLook w:firstColumn="1" w:firstRow="1" w:lastColumn="0" w:lastRow="0" w:noHBand="0" w:noVBand="1" w:val="04A0"/>
      </w:tblPr>
      <w:tblGrid>
        <w:gridCol w:w="9122"/>
      </w:tblGrid>
      <w:tr>
        <w:tc>
          <w:tcPr>
            <w:tcW w:type="dxa" w:w="8640"/>
            <w:shd w:val="clear" w:color="auto" w:fill="F4F7FA"/>
          </w:tcPr>
          <w:p>
            <w:pPr>
              <w:spacing w:before="80" w:after="80"/>
              <w:ind w:left="170" w:right="170"/>
            </w:pPr>
            <w:r>
              <w:rPr>
                <w:i/>
                <w:sz w:val="22"/>
              </w:rPr>
              <w:t>R : Nous utilisons le coefficient R² (coefficient de détermination) et le RMSE (Root Mean Square Error) comme métriques d'évaluation. Ces métriques sont visibles en temps réel via l'endpoint /status du service Flask et dans les métadonnées sauvegardées après chaque entraînement.</w:t>
            </w:r>
          </w:p>
        </w:tc>
      </w:tr>
    </w:tbl>
    <w:p>
      <w:pPr>
        <w:spacing w:after="40"/>
      </w:pPr>
    </w:p>
    <w:p>
      <w:pPr>
        <w:spacing w:before="160"/>
      </w:pPr>
      <w:r>
        <w:rPr>
          <w:b/>
          <w:color w:val="0D2137"/>
          <w:sz w:val="22"/>
        </w:rPr>
        <w:t>Q : Pourquoi un microservice Flask séparé plutôt que du PHP ?</w:t>
      </w:r>
    </w:p>
    <w:tbl>
      <w:tblPr>
        <w:tblW w:type="auto" w:w="0"/>
        <w:jc w:val="left"/>
        <w:tblLook w:firstColumn="1" w:firstRow="1" w:lastColumn="0" w:lastRow="0" w:noHBand="0" w:noVBand="1" w:val="04A0"/>
      </w:tblPr>
      <w:tblGrid>
        <w:gridCol w:w="9122"/>
      </w:tblGrid>
      <w:tr>
        <w:tc>
          <w:tcPr>
            <w:tcW w:type="dxa" w:w="8640"/>
            <w:shd w:val="clear" w:color="auto" w:fill="F4F7FA"/>
          </w:tcPr>
          <w:p>
            <w:pPr>
              <w:spacing w:before="80" w:after="80"/>
              <w:ind w:left="170" w:right="170"/>
            </w:pPr>
            <w:r>
              <w:rPr>
                <w:i/>
                <w:sz w:val="22"/>
              </w:rPr>
              <w:t>R : L'écosystème Python (scikit-learn, XGBoost, NumPy, Pandas) est l'environnement de référence pour le machine learning. Séparer ce service permet aussi une scalabilité indépendante : on peut déployer plusieurs instances du service ML sans toucher au backend métier.</w:t>
            </w:r>
          </w:p>
        </w:tc>
      </w:tr>
    </w:tbl>
    <w:p>
      <w:pPr>
        <w:spacing w:after="40"/>
      </w:pPr>
    </w:p>
    <w:p>
      <w:pPr>
        <w:spacing w:before="160"/>
      </w:pPr>
      <w:r>
        <w:rPr>
          <w:b/>
          <w:color w:val="0D2137"/>
          <w:sz w:val="22"/>
        </w:rPr>
        <w:t>Q : Le système fonctionne-t-il si le service ML est hors ligne ?</w:t>
      </w:r>
    </w:p>
    <w:tbl>
      <w:tblPr>
        <w:tblW w:type="auto" w:w="0"/>
        <w:jc w:val="left"/>
        <w:tblLook w:firstColumn="1" w:firstRow="1" w:lastColumn="0" w:lastRow="0" w:noHBand="0" w:noVBand="1" w:val="04A0"/>
      </w:tblPr>
      <w:tblGrid>
        <w:gridCol w:w="9122"/>
      </w:tblGrid>
      <w:tr>
        <w:tc>
          <w:tcPr>
            <w:tcW w:type="dxa" w:w="8640"/>
            <w:shd w:val="clear" w:color="auto" w:fill="F4F7FA"/>
          </w:tcPr>
          <w:p>
            <w:pPr>
              <w:spacing w:before="80" w:after="80"/>
              <w:ind w:left="170" w:right="170"/>
            </w:pPr>
            <w:r>
              <w:rPr>
                <w:i/>
                <w:sz w:val="22"/>
              </w:rPr>
              <w:t>R : Oui. Un mécanisme de fallback est implémenté dans PredictionService.php : si le service Flask est indisponible, le système génère des prédictions statistiques basées sur des règles heuristiques (taux aléatoire pondéré par le type de jour : week-end vs. semaine), garantissant la continuité du service.</w:t>
            </w:r>
          </w:p>
        </w:tc>
      </w:tr>
    </w:tbl>
    <w:p>
      <w:pPr>
        <w:spacing w:after="40"/>
      </w:pPr>
    </w:p>
    <w:p>
      <w:pPr>
        <w:spacing w:before="360" w:after="120"/>
      </w:pPr>
      <w:r>
        <w:rPr>
          <w:b/>
          <w:color w:val="0D2137"/>
          <w:sz w:val="28"/>
        </w:rPr>
        <w:t>9. Synthèse — Ce que ce module démontre</w:t>
      </w:r>
    </w:p>
    <w:p>
      <w:pPr>
        <w:pBdr>
          <w:bottom w:val="single" w:sz="6" w:space="1" w:color="1565C0"/>
        </w:pBdr>
        <w:spacing w:before="40" w:after="40"/>
      </w:pPr>
    </w:p>
    <w:p>
      <w:pPr>
        <w:spacing w:after="80"/>
      </w:pPr>
      <w:r>
        <w:rPr>
          <w:i w:val="0"/>
          <w:sz w:val="22"/>
        </w:rPr>
        <w:t>Au-delà de la précision des prédictions, ce module démontre la maîtrise de :</w:t>
      </w:r>
    </w:p>
    <w:p>
      <w:pPr>
        <w:pStyle w:val="ListBullet"/>
        <w:spacing w:after="60"/>
      </w:pPr>
      <w:r>
        <w:rPr>
          <w:sz w:val="22"/>
        </w:rPr>
        <w:t>L'architecture microservices et la conteneurisation Docker</w:t>
      </w:r>
    </w:p>
    <w:p>
      <w:pPr>
        <w:pStyle w:val="ListBullet"/>
        <w:spacing w:after="60"/>
      </w:pPr>
      <w:r>
        <w:rPr>
          <w:sz w:val="22"/>
        </w:rPr>
        <w:t>L'intégration d'un service ML dans une application web complète</w:t>
      </w:r>
    </w:p>
    <w:p>
      <w:pPr>
        <w:pStyle w:val="ListBullet"/>
        <w:spacing w:after="60"/>
      </w:pPr>
      <w:r>
        <w:rPr>
          <w:sz w:val="22"/>
        </w:rPr>
        <w:t>L'algorithme XGBoost et l'ingénierie des features (encodage cyclique, saisonnalité)</w:t>
      </w:r>
    </w:p>
    <w:p>
      <w:pPr>
        <w:pStyle w:val="ListBullet"/>
        <w:spacing w:after="60"/>
      </w:pPr>
      <w:r>
        <w:rPr>
          <w:sz w:val="22"/>
        </w:rPr>
        <w:t>Le cycle complet ML : collecte → préparation → entraînement → évaluation → déploiement → monitoring</w:t>
      </w:r>
    </w:p>
    <w:p>
      <w:pPr>
        <w:pStyle w:val="ListBullet"/>
        <w:spacing w:after="60"/>
      </w:pPr>
      <w:r>
        <w:rPr>
          <w:sz w:val="22"/>
        </w:rPr>
        <w:t>La conception d'un système de recommandation actionnable (revenue management)</w:t>
      </w:r>
    </w:p>
    <w:p>
      <w:pPr>
        <w:pStyle w:val="ListBullet"/>
        <w:spacing w:after="60"/>
      </w:pPr>
      <w:r>
        <w:rPr>
          <w:sz w:val="22"/>
        </w:rPr>
        <w:t>La gestion de la robustesse applicative (fallback, alertes, scheduler)</w:t>
      </w:r>
    </w:p>
    <w:tbl>
      <w:tblPr>
        <w:tblW w:type="auto" w:w="0"/>
        <w:jc w:val="left"/>
        <w:tblLook w:firstColumn="1" w:firstRow="1" w:lastColumn="0" w:lastRow="0" w:noHBand="0" w:noVBand="1" w:val="04A0"/>
      </w:tblPr>
      <w:tblGrid>
        <w:gridCol w:w="9122"/>
      </w:tblGrid>
      <w:tr>
        <w:tc>
          <w:tcPr>
            <w:tcW w:type="dxa" w:w="8640"/>
            <w:shd w:val="clear" w:color="auto" w:fill="E3F2FD"/>
          </w:tcPr>
          <w:p>
            <w:pPr>
              <w:spacing w:before="80" w:after="80"/>
              <w:ind w:left="170" w:right="170"/>
            </w:pPr>
            <w:r>
              <w:rPr>
                <w:i/>
                <w:color w:val="0D2137"/>
                <w:sz w:val="22"/>
              </w:rPr>
              <w:t>"Le module de prédiction transforme des données de réservation brutes en intelligence opérationnelle : le gestionnaire n'a plus à deviner — il anticipe."</w:t>
            </w:r>
          </w:p>
        </w:tc>
      </w:tr>
    </w:tbl>
    <w:p>
      <w:pPr>
        <w:spacing w:after="40"/>
      </w:pP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D8B"/>
        <w:sz w:val="18"/>
      </w:rPr>
      <w:t>Plateforme de Gestion Hôtelière — Module IA Prédictif — Mémoire de fin d'études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