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РАЗВИТИЯ УНИВЕРСИТЕТА НА 2025–2030 ГОДЫ (выдержка, учебный пример)</w:t>
      </w:r>
    </w:p>
    <w:p>
      <w:r>
        <w:t>1. Миссия и общие положения</w:t>
      </w:r>
    </w:p>
    <w:p>
      <w:r>
        <w:t>Университет — ведущий региональный центр подготовки кадров, науки и технологий. Миссия университета — готовить специалистов, способных решать задачи цифровой экономики региона, и обеспечивать технологическое развитие отраслей региона за счёт научных исследований.</w:t>
      </w:r>
    </w:p>
    <w:p>
      <w:r>
        <w:t>2. Образовательная деятельность</w:t>
      </w:r>
    </w:p>
    <w:p>
      <w:r>
        <w:t>Стратегическая цель 1. Повысить качество образования и востребованность выпускников на рынке труда.</w:t>
      </w:r>
    </w:p>
    <w:p>
      <w:r>
        <w:t>Университет обновит образовательные программы совместно с работодателями, увеличит долю практико-ориентированных дисциплин, внедрит независимую оценку компетенций выпускников. Особое внимание уделяется трудоустройству выпускников по специальности и удовлетворённости студентов качеством обучения. Университет стремится привлекать наиболее подготовленных абитуриентов и повышать средний балл ЕГЭ зачисленных.</w:t>
      </w:r>
    </w:p>
    <w:p>
      <w:r>
        <w:t>3. Научно-исследовательская деятельность</w:t>
      </w:r>
    </w:p>
    <w:p>
      <w:r>
        <w:t>Стратегическая цель 2. Сформировать конкурентоспособный научный сектор, ориентированный на потребности отраслей региона.</w:t>
      </w:r>
    </w:p>
    <w:p>
      <w:r>
        <w:t>Университет создаст две передовые инженерные школы, расширит участие в грантовых конкурсах и увеличит объём научно-исследовательских и опытно-конструкторских работ по заказам предприятий. Планируется рост числа публикаций в изданиях, индексируемых в международных и российских базах данных, а также рост доходов от НИОКР.</w:t>
      </w:r>
    </w:p>
    <w:p>
      <w:r>
        <w:t>4. Цифровая трансформация</w:t>
      </w:r>
    </w:p>
    <w:p>
      <w:r>
        <w:t>Стратегическая цель 3. Создать цифровую среду университета.</w:t>
      </w:r>
    </w:p>
    <w:p>
      <w:r>
        <w:t>Университет переведёт основные административные услуги для студентов и сотрудников в электронный вид, разработает собственные онлайн-курсы и внедрит систему аналитики данных об успеваемости. Цифровые сервисы должны сократить время обслуживания и повысить прозрачность управления.</w:t>
      </w:r>
    </w:p>
    <w:p>
      <w:r>
        <w:t>5. Кадровая политика</w:t>
      </w:r>
    </w:p>
    <w:p>
      <w:r>
        <w:t>Стратегическая цель 4. Обеспечить университет высококвалифицированными и мотивированными научно-педагогическими кадрами.</w:t>
      </w:r>
    </w:p>
    <w:p>
      <w:r>
        <w:t>Предусматривается программа привлечения молодых исследователей, поддержка подготовки и защиты диссертаций, регулярное повышение квалификации преподавателей, в том числе в области цифровых технологий. Университет стремится к снижению среднего возраста научно-педагогических работников и увеличению доли сотрудников с учёной степенью.</w:t>
      </w:r>
    </w:p>
    <w:p>
      <w:r>
        <w:t>6. Международная деятельность</w:t>
      </w:r>
    </w:p>
    <w:p>
      <w:r>
        <w:t>Стратегическая цель 5. Повысить международную привлекательность университета.</w:t>
      </w:r>
    </w:p>
    <w:p>
      <w:r>
        <w:t>Университет расширит сеть партнёрских соглашений с зарубежными вузами, запустит программы на английском языке и увеличит долю иностранных студентов.</w:t>
      </w:r>
    </w:p>
    <w:p>
      <w:r>
        <w:t>7. Финансовая устойчивость</w:t>
      </w:r>
    </w:p>
    <w:p>
      <w:r>
        <w:t>Стратегическая цель 6. Обеспечить финансовую устойчивость и диверсификацию источников доходов.</w:t>
      </w:r>
    </w:p>
    <w:p>
      <w:r>
        <w:t>Университет увеличит долю внебюджетных доходов за счёт дополнительного образования, коммерциализации разработок и договоров с индустриальными партнёрами.</w:t>
      </w:r>
    </w:p>
    <w:p>
      <w:r>
        <w:t>8. Молодёжная политика</w:t>
      </w:r>
    </w:p>
    <w:p>
      <w:r>
        <w:t>Стратегическая цель 7. Создать среду для самореализации студентов.</w:t>
      </w:r>
    </w:p>
    <w:p>
      <w:r>
        <w:t>Университет будет развивать проектное обучение, студенческое предпринимательство и волонтёрство, вовлекая студентов во внеучебную и проектную деятельность.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