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8B1" w:rsidRPr="0001043E" w:rsidRDefault="00B8701E" w:rsidP="00B8701E">
      <w:pPr>
        <w:spacing w:after="40"/>
        <w:rPr>
          <w:rFonts w:asciiTheme="majorBidi" w:hAnsiTheme="majorBidi" w:cstheme="majorBidi"/>
          <w:i/>
          <w:sz w:val="20"/>
          <w:lang w:val="fr-FR"/>
        </w:rPr>
      </w:pPr>
      <w:r>
        <w:rPr>
          <w:rFonts w:asciiTheme="majorBidi" w:hAnsiTheme="majorBidi" w:cstheme="majorBidi"/>
          <w:noProof/>
          <w:lang w:val="fr-FR" w:eastAsia="fr-FR"/>
        </w:rPr>
        <w:drawing>
          <wp:anchor distT="0" distB="0" distL="114300" distR="114300" simplePos="0" relativeHeight="251659264" behindDoc="0" locked="0" layoutInCell="1" allowOverlap="1" wp14:anchorId="46C501B0" wp14:editId="0EDEA3D1">
            <wp:simplePos x="0" y="0"/>
            <wp:positionH relativeFrom="margin">
              <wp:posOffset>4123690</wp:posOffset>
            </wp:positionH>
            <wp:positionV relativeFrom="margin">
              <wp:posOffset>67755</wp:posOffset>
            </wp:positionV>
            <wp:extent cx="1896745" cy="1184910"/>
            <wp:effectExtent l="0" t="0" r="8255"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MVAG.jpeg"/>
                    <pic:cNvPicPr/>
                  </pic:nvPicPr>
                  <pic:blipFill>
                    <a:blip r:embed="rId8">
                      <a:extLst>
                        <a:ext uri="{28A0092B-C50C-407E-A947-70E740481C1C}">
                          <a14:useLocalDpi xmlns:a14="http://schemas.microsoft.com/office/drawing/2010/main" val="0"/>
                        </a:ext>
                      </a:extLst>
                    </a:blip>
                    <a:stretch>
                      <a:fillRect/>
                    </a:stretch>
                  </pic:blipFill>
                  <pic:spPr>
                    <a:xfrm>
                      <a:off x="0" y="0"/>
                      <a:ext cx="1896745" cy="1184910"/>
                    </a:xfrm>
                    <a:prstGeom prst="rect">
                      <a:avLst/>
                    </a:prstGeom>
                  </pic:spPr>
                </pic:pic>
              </a:graphicData>
            </a:graphic>
          </wp:anchor>
        </w:drawing>
      </w:r>
      <w:r>
        <w:rPr>
          <w:rFonts w:asciiTheme="majorBidi" w:hAnsiTheme="majorBidi" w:cstheme="majorBidi"/>
          <w:b/>
          <w:noProof/>
          <w:sz w:val="26"/>
          <w:lang w:val="fr-FR" w:eastAsia="fr-FR"/>
        </w:rPr>
        <w:drawing>
          <wp:anchor distT="0" distB="0" distL="114300" distR="114300" simplePos="0" relativeHeight="251653120" behindDoc="0" locked="0" layoutInCell="1" allowOverlap="1" wp14:anchorId="799AB8F5" wp14:editId="3FB6762E">
            <wp:simplePos x="0" y="0"/>
            <wp:positionH relativeFrom="margin">
              <wp:posOffset>-303530</wp:posOffset>
            </wp:positionH>
            <wp:positionV relativeFrom="margin">
              <wp:posOffset>-54165</wp:posOffset>
            </wp:positionV>
            <wp:extent cx="4274820" cy="1380490"/>
            <wp:effectExtent l="0" t="0" r="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V.png"/>
                    <pic:cNvPicPr/>
                  </pic:nvPicPr>
                  <pic:blipFill>
                    <a:blip r:embed="rId9">
                      <a:extLst>
                        <a:ext uri="{28A0092B-C50C-407E-A947-70E740481C1C}">
                          <a14:useLocalDpi xmlns:a14="http://schemas.microsoft.com/office/drawing/2010/main" val="0"/>
                        </a:ext>
                      </a:extLst>
                    </a:blip>
                    <a:stretch>
                      <a:fillRect/>
                    </a:stretch>
                  </pic:blipFill>
                  <pic:spPr>
                    <a:xfrm>
                      <a:off x="0" y="0"/>
                      <a:ext cx="4274820" cy="1380490"/>
                    </a:xfrm>
                    <a:prstGeom prst="rect">
                      <a:avLst/>
                    </a:prstGeom>
                  </pic:spPr>
                </pic:pic>
              </a:graphicData>
            </a:graphic>
            <wp14:sizeRelH relativeFrom="margin">
              <wp14:pctWidth>0</wp14:pctWidth>
            </wp14:sizeRelH>
            <wp14:sizeRelV relativeFrom="margin">
              <wp14:pctHeight>0</wp14:pctHeight>
            </wp14:sizeRelV>
          </wp:anchor>
        </w:drawing>
      </w:r>
    </w:p>
    <w:p w:rsidR="00B8701E" w:rsidRPr="0001043E" w:rsidRDefault="00B8701E">
      <w:pPr>
        <w:pBdr>
          <w:bottom w:val="single" w:sz="8" w:space="1" w:color="9C6B1E"/>
        </w:pBdr>
        <w:spacing w:before="80" w:after="80"/>
        <w:rPr>
          <w:rFonts w:asciiTheme="majorBidi" w:hAnsiTheme="majorBidi" w:cstheme="majorBidi"/>
          <w:lang w:val="fr-FR"/>
        </w:rPr>
      </w:pPr>
    </w:p>
    <w:p w:rsidR="00B8701E" w:rsidRPr="0001043E" w:rsidRDefault="00B8701E">
      <w:pPr>
        <w:pBdr>
          <w:bottom w:val="single" w:sz="8" w:space="1" w:color="9C6B1E"/>
        </w:pBdr>
        <w:spacing w:before="80" w:after="80"/>
        <w:rPr>
          <w:rFonts w:asciiTheme="majorBidi" w:hAnsiTheme="majorBidi" w:cstheme="majorBidi"/>
          <w:lang w:val="fr-FR"/>
        </w:rPr>
      </w:pPr>
    </w:p>
    <w:p w:rsidR="00B8701E" w:rsidRPr="0001043E" w:rsidRDefault="00B8701E">
      <w:pPr>
        <w:pBdr>
          <w:bottom w:val="single" w:sz="8" w:space="1" w:color="9C6B1E"/>
        </w:pBdr>
        <w:spacing w:before="80" w:after="80"/>
        <w:rPr>
          <w:rFonts w:asciiTheme="majorBidi" w:hAnsiTheme="majorBidi" w:cstheme="majorBidi"/>
          <w:lang w:val="fr-FR"/>
        </w:rPr>
      </w:pPr>
    </w:p>
    <w:p w:rsidR="00B8701E" w:rsidRPr="0001043E" w:rsidRDefault="00B8701E">
      <w:pPr>
        <w:pBdr>
          <w:bottom w:val="single" w:sz="8" w:space="1" w:color="9C6B1E"/>
        </w:pBdr>
        <w:spacing w:before="80" w:after="80"/>
        <w:rPr>
          <w:rFonts w:asciiTheme="majorBidi" w:hAnsiTheme="majorBidi" w:cstheme="majorBidi"/>
          <w:lang w:val="fr-FR"/>
        </w:rPr>
      </w:pPr>
    </w:p>
    <w:p w:rsidR="00845158" w:rsidRPr="0001043E" w:rsidRDefault="0009058E" w:rsidP="007248B1">
      <w:pPr>
        <w:spacing w:before="280" w:after="120"/>
        <w:jc w:val="center"/>
        <w:rPr>
          <w:rFonts w:asciiTheme="majorBidi" w:hAnsiTheme="majorBidi" w:cstheme="majorBidi"/>
          <w:lang w:val="fr-FR"/>
        </w:rPr>
      </w:pPr>
      <w:r>
        <w:rPr>
          <w:rFonts w:asciiTheme="majorBidi" w:hAnsiTheme="majorBidi" w:cstheme="majorBidi"/>
          <w:b/>
          <w:sz w:val="40"/>
          <w:lang w:val="fr-FR"/>
        </w:rPr>
        <w:t>RAPPORT DE STAGE DE FIN D’ANNEE</w:t>
      </w:r>
    </w:p>
    <w:p w:rsidR="00845158" w:rsidRPr="0001043E" w:rsidRDefault="00845158">
      <w:pPr>
        <w:pBdr>
          <w:bottom w:val="single" w:sz="8" w:space="1" w:color="9C6B1E"/>
        </w:pBdr>
        <w:spacing w:before="80" w:after="80"/>
        <w:rPr>
          <w:rFonts w:asciiTheme="majorBidi" w:hAnsiTheme="majorBidi" w:cstheme="majorBidi"/>
          <w:lang w:val="fr-FR"/>
        </w:rPr>
      </w:pPr>
    </w:p>
    <w:p w:rsidR="004944B9" w:rsidRPr="0001043E" w:rsidRDefault="004944B9">
      <w:pPr>
        <w:spacing w:before="560" w:after="40"/>
        <w:jc w:val="center"/>
        <w:rPr>
          <w:rFonts w:asciiTheme="majorBidi" w:hAnsiTheme="majorBidi" w:cstheme="majorBidi"/>
          <w:b/>
          <w:sz w:val="36"/>
          <w:szCs w:val="28"/>
          <w:lang w:val="fr-FR"/>
        </w:rPr>
      </w:pPr>
    </w:p>
    <w:p w:rsidR="00845158" w:rsidRPr="0001043E" w:rsidRDefault="0009058E" w:rsidP="00ED7B3C">
      <w:pPr>
        <w:spacing w:before="560" w:after="40"/>
        <w:jc w:val="center"/>
        <w:rPr>
          <w:rFonts w:asciiTheme="majorBidi" w:hAnsiTheme="majorBidi" w:cstheme="majorBidi"/>
          <w:sz w:val="28"/>
          <w:szCs w:val="28"/>
          <w:lang w:val="fr-FR"/>
        </w:rPr>
      </w:pPr>
      <w:r>
        <w:rPr>
          <w:rFonts w:asciiTheme="majorBidi" w:hAnsiTheme="majorBidi" w:cstheme="majorBidi"/>
          <w:b/>
          <w:sz w:val="36"/>
          <w:szCs w:val="28"/>
          <w:lang w:val="fr-FR"/>
        </w:rPr>
        <w:t>Conception et développement d'une application de gestion</w:t>
      </w:r>
      <w:r>
        <w:rPr>
          <w:rFonts w:asciiTheme="majorBidi" w:hAnsiTheme="majorBidi" w:cstheme="majorBidi"/>
          <w:sz w:val="28"/>
          <w:szCs w:val="28"/>
          <w:lang w:val="fr-FR"/>
        </w:rPr>
        <w:t xml:space="preserve"> </w:t>
      </w:r>
      <w:r>
        <w:rPr>
          <w:rFonts w:asciiTheme="majorBidi" w:hAnsiTheme="majorBidi" w:cstheme="majorBidi"/>
          <w:b/>
          <w:sz w:val="36"/>
          <w:szCs w:val="28"/>
          <w:lang w:val="fr-FR"/>
        </w:rPr>
        <w:t>et de reporting météorologique automatisé pour l'ORMVAG</w:t>
      </w:r>
    </w:p>
    <w:p w:rsidR="00845158" w:rsidRPr="0001043E" w:rsidRDefault="0009058E">
      <w:pPr>
        <w:spacing w:after="800"/>
        <w:jc w:val="center"/>
        <w:rPr>
          <w:rFonts w:asciiTheme="majorBidi" w:hAnsiTheme="majorBidi" w:cstheme="majorBidi"/>
          <w:i/>
          <w:sz w:val="28"/>
          <w:szCs w:val="24"/>
          <w:lang w:val="fr-FR"/>
        </w:rPr>
      </w:pPr>
      <w:r>
        <w:rPr>
          <w:rFonts w:asciiTheme="majorBidi" w:hAnsiTheme="majorBidi" w:cstheme="majorBidi"/>
          <w:i/>
          <w:sz w:val="28"/>
          <w:szCs w:val="24"/>
          <w:lang w:val="fr-FR"/>
        </w:rPr>
        <w:t>Intégration de modules de prévision et de détection d'anomalies par apprentissage automatique</w:t>
      </w:r>
    </w:p>
    <w:p w:rsidR="00ED7B3C" w:rsidRPr="0001043E" w:rsidRDefault="00ED7B3C">
      <w:pPr>
        <w:spacing w:after="800"/>
        <w:jc w:val="center"/>
        <w:rPr>
          <w:rFonts w:asciiTheme="majorBidi" w:hAnsiTheme="majorBidi" w:cstheme="majorBidi"/>
          <w:sz w:val="24"/>
          <w:szCs w:val="24"/>
          <w:lang w:val="fr-FR"/>
        </w:rPr>
      </w:pPr>
      <w:bookmarkStart w:id="0" w:name="_GoBack"/>
      <w:bookmarkEnd w:id="0"/>
      <w:r>
        <w:rPr>
          <w:rFonts w:asciiTheme="majorBidi" w:hAnsiTheme="majorBidi" w:cstheme="majorBidi"/>
          <w:noProof/>
          <w:szCs w:val="24"/>
          <w:lang w:val="fr-FR" w:eastAsia="fr-FR"/>
        </w:rPr>
        <mc:AlternateContent>
          <mc:Choice Requires="wps">
            <w:drawing>
              <wp:anchor distT="45720" distB="45720" distL="114300" distR="114300" simplePos="0" relativeHeight="251665408" behindDoc="0" locked="0" layoutInCell="1" allowOverlap="1" wp14:anchorId="5FB0246B" wp14:editId="0372028E">
                <wp:simplePos x="0" y="0"/>
                <wp:positionH relativeFrom="column">
                  <wp:posOffset>3744291</wp:posOffset>
                </wp:positionH>
                <wp:positionV relativeFrom="paragraph">
                  <wp:posOffset>276225</wp:posOffset>
                </wp:positionV>
                <wp:extent cx="2441865" cy="1592580"/>
                <wp:effectExtent l="0" t="0" r="15875" b="266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1865" cy="1592580"/>
                        </a:xfrm>
                        <a:prstGeom prst="rect">
                          <a:avLst/>
                        </a:prstGeom>
                        <a:solidFill>
                          <a:srgbClr val="FFFFFF"/>
                        </a:solidFill>
                        <a:ln w="9525">
                          <a:solidFill>
                            <a:schemeClr val="bg1"/>
                          </a:solidFill>
                          <a:miter lim="800000"/>
                          <a:headEnd/>
                          <a:tailEnd/>
                        </a:ln>
                      </wps:spPr>
                      <wps:txbx>
                        <w:txbxContent>
                          <w:p w:rsidR="00455681" w:rsidRDefault="00A44867"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 xml:space="preserve">Réalisé par:</w:t>
                            </w:r>
                          </w:p>
                          <w:p w:rsidR="00455681" w:rsidRPr="00ED7B3C" w:rsidRDefault="00455681"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B0246B" id="_x0000_t202" coordsize="21600,21600" o:spt="202" path="m,l,21600r21600,l21600,xe">
                <v:stroke joinstyle="miter"/>
                <v:path gradientshapeok="t" o:connecttype="rect"/>
              </v:shapetype>
              <v:shape id="Zone de texte 2" o:spid="_x0000_s1026" type="#_x0000_t202" style="position:absolute;left:0;text-align:left;margin-left:294.85pt;margin-top:21.75pt;width:192.25pt;height:125.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c912MQIAAEsEAAAOAAAAZHJzL2Uyb0RvYy54bWysVE2P0zAQvSPxHyzfaZqo2W2jpqulSxHS 8iEtXLg5tpNYOJ5gu03Kr9+x0y2l3BA5WB7P+HnmvZms78ZOk4O0ToEpaTqbUyINB6FMU9JvX3dv lpQ4z4xgGows6VE6erd5/Wo99IXMoAUtpCUIYlwx9CVtve+LJHG8lR1zM+ilQWcNtmMeTdskwrIB 0TudZPP5TTKAFb0FLp3D04fJSTcRv64l95/r2klPdEkxNx9XG9cqrMlmzYrGsr5V/JQG+4csOqYM PnqGemCekb1Vf0F1iltwUPsZhy6BulZcxhqwmnR+Vc1Ty3oZa0FyXH+myf0/WP7p8MUSJUqapbeU GNahSN9RKiIk8XL0kmSBpKF3BcY+9Rjtx7cwotixYNc/Av/hiIFty0wj762FoZVMYJJpuJlcXJ1w XACpho8g8C229xCBxtp2gUHkhCA6inU8C4R5EI6H2WKRLm9ySjj60nyV5csoYcKKl+u9df69hI6E TUktdkCEZ4dH50M6rHgJCa850ErslNbRsE211ZYcGHbLLn6xgqswbchQ0lWe5RMDf0CExpVnkKqZ OLhC6JTHrteqK+lyHr6pDwNt74yIPemZ0tMeM9bmxGOgbiLRj9V40qUCcURGLUzdjdOImxbsL0oG 7OySup97ZiUl+oNBVVbpYhFGIRqL/DZDw156qksPMxyhSuopmbZbH8cn8GXgHtWrVeQ1yDxlcsoV OzbSfZquMBKXdoz6/Q/YPAMAAP//AwBQSwMEFAAGAAgAAAAhAJiEBszhAAAACgEAAA8AAABkcnMv ZG93bnJldi54bWxMj8tOwzAQRfdI/IM1SOyoQ5o+EjKpEIjuKkRAhaUTD0lEPI5itw39eswKlqN7 dO+ZfDOZXhxpdJ1lhNtZBIK4trrjBuHt9elmDcJ5xVr1lgnhmxxsisuLXGXanviFjqVvRChhlymE 1vshk9LVLRnlZnYgDtmnHY3y4RwbqUd1CuWml3EULaVRHYeFVg300FL9VR4Mgquj5f45KffvldzS OdX68WO7Q7y+mu7vQHia/B8Mv/pBHYrgVNkDayd6hMU6XQUUIZkvQAQgXSUxiAohTpM5yCKX/18o fgAAAP//AwBQSwECLQAUAAYACAAAACEAtoM4kv4AAADhAQAAEwAAAAAAAAAAAAAAAAAAAAAAW0Nv bnRlbnRfVHlwZXNdLnhtbFBLAQItABQABgAIAAAAIQA4/SH/1gAAAJQBAAALAAAAAAAAAAAAAAAA AC8BAABfcmVscy8ucmVsc1BLAQItABQABgAIAAAAIQAlc912MQIAAEsEAAAOAAAAAAAAAAAAAAAA AC4CAABkcnMvZTJvRG9jLnhtbFBLAQItABQABgAIAAAAIQCYhAbM4QAAAAoBAAAPAAAAAAAAAAAA AAAAAIsEAABkcnMvZG93bnJldi54bWxQSwUGAAAAAAQABADzAAAAmQUAAAAA " strokecolor="white [3212]">
                <v:textbox>
                  <w:txbxContent>
                    <w:p w:rsidR="00455681" w:rsidRDefault="00A44867"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 xml:space="preserve">Réalisé par:</w:t>
                      </w:r>
                    </w:p>
                    <w:p w:rsidR="00455681" w:rsidRPr="00ED7B3C" w:rsidRDefault="00455681"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v:textbox>
                <w10:wrap type="square"/>
              </v:shape>
            </w:pict>
          </mc:Fallback>
        </mc:AlternateContent>
      </w:r>
    </w:p>
    <w:p w:rsidR="00ED7B3C" w:rsidRPr="0001043E" w:rsidRDefault="004944B9" w:rsidP="00ED7B3C">
      <w:pPr>
        <w:spacing w:before="600" w:after="120" w:line="240" w:lineRule="auto"/>
        <w:rPr>
          <w:rFonts w:asciiTheme="majorBidi" w:hAnsiTheme="majorBidi" w:cstheme="majorBidi"/>
          <w:b/>
          <w:bCs/>
          <w:sz w:val="28"/>
          <w:szCs w:val="28"/>
          <w:lang w:val="fr-FR"/>
        </w:rPr>
      </w:pPr>
      <w:r>
        <w:rPr>
          <w:rFonts w:asciiTheme="majorBidi" w:hAnsiTheme="majorBidi" w:cstheme="majorBidi"/>
          <w:b/>
          <w:bCs/>
          <w:sz w:val="28"/>
          <w:szCs w:val="28"/>
          <w:lang w:val="fr-FR"/>
        </w:rPr>
        <w:t>Encadrant professionnel:</w:t>
      </w:r>
    </w:p>
    <w:p w:rsidR="00ED7B3C" w:rsidRPr="0001043E" w:rsidRDefault="00ED7B3C" w:rsidP="00ED7B3C">
      <w:pPr>
        <w:spacing w:before="600" w:after="120" w:line="240" w:lineRule="auto"/>
        <w:rPr>
          <w:rFonts w:asciiTheme="majorBidi" w:hAnsiTheme="majorBidi" w:cstheme="majorBidi"/>
          <w:sz w:val="28"/>
          <w:szCs w:val="28"/>
          <w:lang w:val="fr-FR"/>
        </w:rPr>
      </w:pPr>
      <w:r>
        <w:rPr>
          <w:rFonts w:asciiTheme="majorBidi" w:hAnsiTheme="majorBidi" w:cstheme="majorBidi"/>
          <w:sz w:val="28"/>
          <w:szCs w:val="28"/>
          <w:lang w:val="fr-FR"/>
        </w:rPr>
        <w:t xml:space="preserve"> M.FOUIMA Mehdi</w:t>
      </w:r>
    </w:p>
    <w:p w:rsidR="00845158" w:rsidRPr="0001043E" w:rsidRDefault="00845158">
      <w:pPr>
        <w:spacing w:after="400"/>
        <w:rPr>
          <w:rFonts w:asciiTheme="majorBidi" w:hAnsiTheme="majorBidi" w:cstheme="majorBidi"/>
          <w:szCs w:val="24"/>
          <w:lang w:val="fr-FR"/>
        </w:rPr>
      </w:pPr>
    </w:p>
    <w:p w:rsidR="00ED7B3C" w:rsidRPr="0001043E" w:rsidRDefault="00ED7B3C">
      <w:pPr>
        <w:spacing w:after="400"/>
        <w:rPr>
          <w:rFonts w:asciiTheme="majorBidi" w:hAnsiTheme="majorBidi" w:cstheme="majorBidi"/>
          <w:sz w:val="24"/>
          <w:szCs w:val="24"/>
          <w:lang w:val="fr-FR"/>
        </w:rPr>
      </w:pPr>
    </w:p>
    <w:p w:rsidR="00845158" w:rsidRPr="0001043E" w:rsidRDefault="0009058E" w:rsidP="007248B1">
      <w:pPr>
        <w:spacing w:before="600" w:after="40"/>
        <w:jc w:val="center"/>
        <w:rPr>
          <w:rFonts w:asciiTheme="majorBidi" w:hAnsiTheme="majorBidi" w:cstheme="majorBidi"/>
          <w:sz w:val="24"/>
          <w:szCs w:val="24"/>
          <w:lang w:val="fr-FR"/>
        </w:rPr>
      </w:pPr>
      <w:r>
        <w:rPr>
          <w:rFonts w:asciiTheme="majorBidi" w:hAnsiTheme="majorBidi" w:cstheme="majorBidi"/>
          <w:szCs w:val="24"/>
          <w:lang w:val="fr-FR"/>
        </w:rPr>
        <w:t>Période de stage : 01 Juillet 2026 – 31 Juillet 2026</w:t>
      </w:r>
    </w:p>
    <w:p w:rsidR="00845158" w:rsidRPr="0001043E" w:rsidRDefault="007248B1" w:rsidP="007248B1">
      <w:pPr>
        <w:spacing w:after="40"/>
        <w:jc w:val="center"/>
        <w:rPr>
          <w:rFonts w:asciiTheme="majorBidi" w:hAnsiTheme="majorBidi" w:cstheme="majorBidi"/>
          <w:sz w:val="24"/>
          <w:szCs w:val="24"/>
          <w:lang w:val="fr-FR"/>
        </w:rPr>
      </w:pPr>
      <w:r>
        <w:rPr>
          <w:rFonts w:asciiTheme="majorBidi" w:hAnsiTheme="majorBidi" w:cstheme="majorBidi"/>
          <w:szCs w:val="24"/>
          <w:lang w:val="fr-FR"/>
        </w:rPr>
        <w:t>Année universitaire : 2025-2026</w:t>
      </w:r>
    </w:p>
    <w:p w:rsidR="00845158" w:rsidRPr="0001043E" w:rsidRDefault="0009058E">
      <w:pPr>
        <w:rPr>
          <w:rFonts w:asciiTheme="majorBidi" w:hAnsiTheme="majorBidi" w:cstheme="majorBidi"/>
          <w:lang w:val="fr-FR"/>
        </w:rPr>
      </w:pPr>
      <w:r>
        <w:rPr>
          <w:rFonts w:asciiTheme="majorBidi" w:hAnsiTheme="majorBidi" w:cstheme="majorBidi"/>
          <w:lang w:val="fr-FR"/>
        </w:rPr>
        <w:t>Dépôt GitHub : https://github.com/meryem-bakk/Ormvag_meteo</w:t>
      </w:r>
    </w:p>
    <w:p w:rsidR="00845158" w:rsidRPr="0001043E" w:rsidRDefault="00845158">
      <w:pPr>
        <w:rPr>
          <w:rFonts w:asciiTheme="majorBidi" w:hAnsiTheme="majorBidi" w:cstheme="majorBidi"/>
          <w:lang w:val="fr-FR"/>
        </w:rPr>
        <w:sectPr w:rsidR="00845158" w:rsidRPr="0001043E">
          <w:pgSz w:w="11906" w:h="16838"/>
          <w:pgMar w:top="1134" w:right="1134" w:bottom="1134" w:left="1417" w:header="720" w:footer="720" w:gutter="0"/>
          <w:cols w:space="720"/>
          <w:docGrid w:linePitch="360"/>
        </w:sectPr>
      </w:pPr>
    </w:p>
    <w:p w:rsidR="00845158" w:rsidRPr="0001043E" w:rsidRDefault="0009058E">
      <w:pPr>
        <w:pStyle w:val="Titre1"/>
        <w:rPr>
          <w:lang w:val="fr-FR"/>
        </w:rPr>
      </w:pPr>
      <w:bookmarkStart w:id="1" w:name="_Toc235311101"/>
      <w:r>
        <w:rPr>
          <w:lang w:val="fr-FR"/>
        </w:rPr>
        <w:lastRenderedPageBreak/>
        <w:t>Remerciements</w:t>
      </w:r>
      <w:bookmarkEnd w:id="1"/>
    </w:p>
    <w:p w:rsidR="00845158" w:rsidRPr="0001043E" w:rsidRDefault="0009058E" w:rsidP="00ED7B3C">
      <w:pPr>
        <w:spacing w:line="312" w:lineRule="auto"/>
        <w:jc w:val="both"/>
        <w:rPr>
          <w:rFonts w:asciiTheme="majorBidi" w:hAnsiTheme="majorBidi" w:cstheme="majorBidi"/>
          <w:lang w:val="fr-FR"/>
        </w:rPr>
      </w:pPr>
      <w:r>
        <w:rPr>
          <w:rFonts w:asciiTheme="majorBidi" w:hAnsiTheme="majorBidi" w:cstheme="majorBidi"/>
          <w:lang w:val="fr-FR"/>
        </w:rPr>
        <w:t xml:space="preserve">Je tiens tout d'abord à exprimer ma profonde gratitude à Monsieur FOUIMA</w:t>
      </w:r>
      <w:r>
        <w:rPr>
          <w:rFonts w:asciiTheme="majorBidi" w:hAnsiTheme="majorBidi" w:cstheme="majorBidi"/>
          <w:sz w:val="28"/>
          <w:szCs w:val="28"/>
          <w:lang w:val="fr-FR"/>
        </w:rPr>
        <w:t xml:space="preserve"> </w:t>
      </w:r>
      <w:r>
        <w:rPr>
          <w:rFonts w:asciiTheme="majorBidi" w:hAnsiTheme="majorBidi" w:cstheme="majorBidi"/>
          <w:lang w:val="fr-FR"/>
        </w:rPr>
        <w:t>Mehdi, mon encadrant au sein de l'Office Régional de Mise en Valeur Agricole du Gharb (ORMVAG), pour son accueil, sa disponibilité et la confiance qu'il m'a accordée tout au long de ce stage, ainsi que pour ses conseils avisés qui ont guidé la conduite de ce projet.</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Je remercie chaleureusement l'ensemble du personnel de l'ORMVAG, notamment le Service des Études et Données (SED), pour leur accueil, leur esprit d'équipe et le partage de leur expertise du domaine agroclimatique, indispensable à la bonne compréhension des besoins métier de ce projet.</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Enfin, je remercie l'ensemble du corps professoral de l'IAV Hassan II pour la formation reçue tout au long de mon cursus, ainsi que ma famille et mes proches pour leur soutien constant.</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2" w:name="_Toc235311102"/>
      <w:r>
        <w:rPr>
          <w:lang w:val="fr-FR"/>
        </w:rPr>
        <w:lastRenderedPageBreak/>
        <w:t>Table des matières</w:t>
      </w:r>
      <w:bookmarkEnd w:id="2"/>
    </w:p>
    <w:p w:rsidR="00455681" w:rsidRPr="0001043E" w:rsidRDefault="00455681">
      <w:pPr>
        <w:pStyle w:val="TM1"/>
        <w:tabs>
          <w:tab w:val="right" w:leader="dot" w:pos="9062"/>
        </w:tabs>
        <w:rPr>
          <w:rFonts w:asciiTheme="majorBidi" w:hAnsiTheme="majorBidi" w:cstheme="majorBidi"/>
        </w:rPr>
      </w:pPr>
    </w:p>
    <w:p w:rsidR="0001043E" w:rsidRPr="0001043E" w:rsidRDefault="0009058E">
      <w:pPr>
        <w:pStyle w:val="TM1"/>
        <w:tabs>
          <w:tab w:val="right" w:leader="dot" w:pos="9062"/>
        </w:tabs>
        <w:rPr>
          <w:rFonts w:asciiTheme="majorBidi" w:hAnsiTheme="majorBidi" w:cstheme="majorBidi"/>
          <w:noProof/>
          <w:lang w:val="fr-FR" w:eastAsia="fr-FR"/>
        </w:rPr>
      </w:pPr>
      <w:r>
        <w:rPr>
          <w:rFonts w:asciiTheme="majorBidi" w:hAnsiTheme="majorBidi" w:cstheme="majorBidi"/>
        </w:rPr>
        <w:fldChar w:fldCharType="begin"/>
      </w:r>
      <w:r>
        <w:rPr>
          <w:rFonts w:asciiTheme="majorBidi" w:hAnsiTheme="majorBidi" w:cstheme="majorBidi"/>
          <w:lang w:val="fr-FR"/>
        </w:rPr>
        <w:instrText>TOC \o "1-3" \h \z \u</w:instrText>
      </w:r>
      <w:r>
        <w:rPr>
          <w:rFonts w:asciiTheme="majorBidi" w:hAnsiTheme="majorBidi" w:cstheme="majorBidi"/>
        </w:rPr>
        <w:fldChar w:fldCharType="separate"/>
      </w:r>
      <w:hyperlink w:anchor="_Toc235311101" w:history="1">
        <w:r>
          <w:rPr>
            <w:rStyle w:val="Lienhypertexte"/>
            <w:rFonts w:asciiTheme="majorBidi" w:hAnsiTheme="majorBidi" w:cstheme="majorBidi"/>
            <w:noProof/>
            <w:lang w:val="fr-FR"/>
          </w:rPr>
          <w:t>Remerciements</w:t>
        </w:r>
        <w:r>
          <w:rPr>
            <w:rFonts w:asciiTheme="majorBidi" w:hAnsiTheme="majorBidi" w:cstheme="majorBidi"/>
            <w:noProof/>
            <w:webHidden/>
          </w:rPr>
          <w:tab/>
          <w:fldChar w:fldCharType="begin"/>
          <w:instrText xml:space="preserve"> PAGEREF _Toc235311101 \h </w:instrText>
          <w:fldChar w:fldCharType="separate"/>
          <w:t>2</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02" w:history="1">
        <w:r>
          <w:rPr>
            <w:rStyle w:val="Lienhypertexte"/>
            <w:rFonts w:asciiTheme="majorBidi" w:hAnsiTheme="majorBidi" w:cstheme="majorBidi"/>
            <w:noProof/>
            <w:lang w:val="fr-FR"/>
          </w:rPr>
          <w:t>Table des matières</w:t>
        </w:r>
        <w:r>
          <w:rPr>
            <w:rFonts w:asciiTheme="majorBidi" w:hAnsiTheme="majorBidi" w:cstheme="majorBidi"/>
            <w:noProof/>
            <w:webHidden/>
          </w:rPr>
          <w:tab/>
          <w:fldChar w:fldCharType="begin"/>
          <w:instrText xml:space="preserve"> PAGEREF _Toc235311102 \h </w:instrText>
          <w:fldChar w:fldCharType="separate"/>
          <w:t>3</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03" w:history="1">
        <w:r>
          <w:rPr>
            <w:rStyle w:val="Lienhypertexte"/>
            <w:rFonts w:asciiTheme="majorBidi" w:hAnsiTheme="majorBidi" w:cstheme="majorBidi"/>
            <w:noProof/>
            <w:lang w:val="fr-FR"/>
          </w:rPr>
          <w:t>Introduction générale</w:t>
        </w:r>
        <w:r>
          <w:rPr>
            <w:rFonts w:asciiTheme="majorBidi" w:hAnsiTheme="majorBidi" w:cstheme="majorBidi"/>
            <w:noProof/>
            <w:webHidden/>
          </w:rPr>
          <w:tab/>
          <w:fldChar w:fldCharType="begin"/>
          <w:instrText xml:space="preserve"> PAGEREF _Toc235311103 \h </w:instrText>
          <w:fldChar w:fldCharType="separate"/>
          <w:t>5</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04" w:history="1">
        <w:r>
          <w:rPr>
            <w:rStyle w:val="Lienhypertexte"/>
            <w:rFonts w:asciiTheme="majorBidi" w:hAnsiTheme="majorBidi" w:cstheme="majorBidi"/>
            <w:noProof/>
            <w:lang w:val="fr-FR"/>
          </w:rPr>
          <w:t>Chapitre 1 — Contexte général du projet</w:t>
        </w:r>
        <w:r>
          <w:rPr>
            <w:rFonts w:asciiTheme="majorBidi" w:hAnsiTheme="majorBidi" w:cstheme="majorBidi"/>
            <w:noProof/>
            <w:webHidden/>
          </w:rPr>
          <w:tab/>
          <w:fldChar w:fldCharType="begin"/>
          <w:instrText xml:space="preserve"> PAGEREF _Toc235311104 \h </w:instrText>
          <w:fldChar w:fldCharType="separate"/>
          <w:t>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05" w:history="1">
        <w:r>
          <w:rPr>
            <w:rStyle w:val="Lienhypertexte"/>
            <w:rFonts w:asciiTheme="majorBidi" w:hAnsiTheme="majorBidi" w:cstheme="majorBidi"/>
            <w:noProof/>
            <w:lang w:val="fr-FR"/>
          </w:rPr>
          <w:t>1.1 Présentation de l'organisme d'accueil</w:t>
        </w:r>
        <w:r>
          <w:rPr>
            <w:rFonts w:asciiTheme="majorBidi" w:hAnsiTheme="majorBidi" w:cstheme="majorBidi"/>
            <w:noProof/>
            <w:webHidden/>
          </w:rPr>
          <w:tab/>
          <w:fldChar w:fldCharType="begin"/>
          <w:instrText xml:space="preserve"> PAGEREF _Toc235311105 \h </w:instrText>
          <w:fldChar w:fldCharType="separate"/>
          <w:t>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06" w:history="1">
        <w:r>
          <w:rPr>
            <w:rStyle w:val="Lienhypertexte"/>
            <w:rFonts w:asciiTheme="majorBidi" w:hAnsiTheme="majorBidi" w:cstheme="majorBidi"/>
            <w:noProof/>
            <w:lang w:val="fr-FR"/>
          </w:rPr>
          <w:t>1.2 Contexte et problématique</w:t>
        </w:r>
        <w:r>
          <w:rPr>
            <w:rFonts w:asciiTheme="majorBidi" w:hAnsiTheme="majorBidi" w:cstheme="majorBidi"/>
            <w:noProof/>
            <w:webHidden/>
          </w:rPr>
          <w:tab/>
          <w:fldChar w:fldCharType="begin"/>
          <w:instrText xml:space="preserve"> PAGEREF _Toc235311106 \h </w:instrText>
          <w:fldChar w:fldCharType="separate"/>
          <w:t>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07" w:history="1">
        <w:r>
          <w:rPr>
            <w:rStyle w:val="Lienhypertexte"/>
            <w:rFonts w:asciiTheme="majorBidi" w:hAnsiTheme="majorBidi" w:cstheme="majorBidi"/>
            <w:noProof/>
            <w:lang w:val="fr-FR"/>
          </w:rPr>
          <w:t>1.3 Objectifs du stage</w:t>
        </w:r>
        <w:r>
          <w:rPr>
            <w:rFonts w:asciiTheme="majorBidi" w:hAnsiTheme="majorBidi" w:cstheme="majorBidi"/>
            <w:noProof/>
            <w:webHidden/>
          </w:rPr>
          <w:tab/>
          <w:fldChar w:fldCharType="begin"/>
          <w:instrText xml:space="preserve"> PAGEREF _Toc235311107 \h </w:instrText>
          <w:fldChar w:fldCharType="separate"/>
          <w:t>6</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08" w:history="1">
        <w:r>
          <w:rPr>
            <w:rStyle w:val="Lienhypertexte"/>
            <w:rFonts w:asciiTheme="majorBidi" w:hAnsiTheme="majorBidi" w:cstheme="majorBidi"/>
            <w:noProof/>
            <w:lang w:val="fr-FR"/>
          </w:rPr>
          <w:t>Chapitre 2 — Analyse et spécification des besoins</w:t>
        </w:r>
        <w:r>
          <w:rPr>
            <w:rFonts w:asciiTheme="majorBidi" w:hAnsiTheme="majorBidi" w:cstheme="majorBidi"/>
            <w:noProof/>
            <w:webHidden/>
          </w:rPr>
          <w:tab/>
          <w:fldChar w:fldCharType="begin"/>
          <w:instrText xml:space="preserve"> PAGEREF _Toc235311108 \h </w:instrText>
          <w:fldChar w:fldCharType="separate"/>
          <w:t>8</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09" w:history="1">
        <w:r>
          <w:rPr>
            <w:rStyle w:val="Lienhypertexte"/>
            <w:rFonts w:asciiTheme="majorBidi" w:hAnsiTheme="majorBidi" w:cstheme="majorBidi"/>
            <w:noProof/>
            <w:lang w:val="fr-FR"/>
          </w:rPr>
          <w:t>2.1 Étude de l'existant</w:t>
        </w:r>
        <w:r>
          <w:rPr>
            <w:rFonts w:asciiTheme="majorBidi" w:hAnsiTheme="majorBidi" w:cstheme="majorBidi"/>
            <w:noProof/>
            <w:webHidden/>
          </w:rPr>
          <w:tab/>
          <w:fldChar w:fldCharType="begin"/>
          <w:instrText xml:space="preserve"> PAGEREF _Toc235311109 \h </w:instrText>
          <w:fldChar w:fldCharType="separate"/>
          <w:t>8</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10" w:history="1">
        <w:r>
          <w:rPr>
            <w:rStyle w:val="Lienhypertexte"/>
            <w:rFonts w:asciiTheme="majorBidi" w:hAnsiTheme="majorBidi" w:cstheme="majorBidi"/>
            <w:noProof/>
            <w:lang w:val="fr-FR"/>
          </w:rPr>
          <w:t>2.2 Identification des acteurs</w:t>
        </w:r>
        <w:r>
          <w:rPr>
            <w:rFonts w:asciiTheme="majorBidi" w:hAnsiTheme="majorBidi" w:cstheme="majorBidi"/>
            <w:noProof/>
            <w:webHidden/>
          </w:rPr>
          <w:tab/>
          <w:fldChar w:fldCharType="begin"/>
          <w:instrText xml:space="preserve"> PAGEREF _Toc235311110 \h </w:instrText>
          <w:fldChar w:fldCharType="separate"/>
          <w:t>8</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11" w:history="1">
        <w:r>
          <w:rPr>
            <w:rStyle w:val="Lienhypertexte"/>
            <w:rFonts w:asciiTheme="majorBidi" w:hAnsiTheme="majorBidi" w:cstheme="majorBidi"/>
            <w:noProof/>
            <w:lang w:val="fr-FR"/>
          </w:rPr>
          <w:t>2.3 Cahier des charges fonctionnel</w:t>
        </w:r>
        <w:r>
          <w:rPr>
            <w:rFonts w:asciiTheme="majorBidi" w:hAnsiTheme="majorBidi" w:cstheme="majorBidi"/>
            <w:noProof/>
            <w:webHidden/>
          </w:rPr>
          <w:tab/>
          <w:fldChar w:fldCharType="begin"/>
          <w:instrText xml:space="preserve"> PAGEREF _Toc235311111 \h </w:instrText>
          <w:fldChar w:fldCharType="separate"/>
          <w:t>8</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2" w:history="1">
        <w:r>
          <w:rPr>
            <w:rStyle w:val="Lienhypertexte"/>
            <w:rFonts w:asciiTheme="majorBidi" w:hAnsiTheme="majorBidi" w:cstheme="majorBidi"/>
            <w:noProof/>
          </w:rPr>
          <w:t>Tableau de bord et visualisation</w:t>
        </w:r>
        <w:r>
          <w:rPr>
            <w:rFonts w:asciiTheme="majorBidi" w:hAnsiTheme="majorBidi" w:cstheme="majorBidi"/>
            <w:noProof/>
            <w:webHidden/>
          </w:rPr>
          <w:tab/>
          <w:fldChar w:fldCharType="begin"/>
          <w:instrText xml:space="preserve"> PAGEREF _Toc235311112 \h </w:instrText>
          <w:fldChar w:fldCharType="separate"/>
          <w:t>8</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3" w:history="1">
        <w:r>
          <w:rPr>
            <w:rStyle w:val="Lienhypertexte"/>
            <w:rFonts w:asciiTheme="majorBidi" w:hAnsiTheme="majorBidi" w:cstheme="majorBidi"/>
            <w:noProof/>
          </w:rPr>
          <w:t>Gestion des données</w:t>
        </w:r>
        <w:r>
          <w:rPr>
            <w:rFonts w:asciiTheme="majorBidi" w:hAnsiTheme="majorBidi" w:cstheme="majorBidi"/>
            <w:noProof/>
            <w:webHidden/>
          </w:rPr>
          <w:tab/>
          <w:fldChar w:fldCharType="begin"/>
          <w:instrText xml:space="preserve"> PAGEREF _Toc235311113 \h </w:instrText>
          <w:fldChar w:fldCharType="separate"/>
          <w:t>8</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4" w:history="1">
        <w:r>
          <w:rPr>
            <w:rStyle w:val="Lienhypertexte"/>
            <w:rFonts w:asciiTheme="majorBidi" w:hAnsiTheme="majorBidi" w:cstheme="majorBidi"/>
            <w:noProof/>
          </w:rPr>
          <w:t>Indicateurs agroclimatiques</w:t>
        </w:r>
        <w:r>
          <w:rPr>
            <w:rFonts w:asciiTheme="majorBidi" w:hAnsiTheme="majorBidi" w:cstheme="majorBidi"/>
            <w:noProof/>
            <w:webHidden/>
          </w:rPr>
          <w:tab/>
          <w:fldChar w:fldCharType="begin"/>
          <w:instrText xml:space="preserve"> PAGEREF _Toc235311114 \h </w:instrText>
          <w:fldChar w:fldCharType="separate"/>
          <w:t>9</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5" w:history="1">
        <w:r>
          <w:rPr>
            <w:rStyle w:val="Lienhypertexte"/>
            <w:rFonts w:asciiTheme="majorBidi" w:hAnsiTheme="majorBidi" w:cstheme="majorBidi"/>
            <w:noProof/>
          </w:rPr>
          <w:t>Rapports</w:t>
        </w:r>
        <w:r>
          <w:rPr>
            <w:rFonts w:asciiTheme="majorBidi" w:hAnsiTheme="majorBidi" w:cstheme="majorBidi"/>
            <w:noProof/>
            <w:webHidden/>
          </w:rPr>
          <w:tab/>
          <w:fldChar w:fldCharType="begin"/>
          <w:instrText xml:space="preserve"> PAGEREF _Toc235311115 \h </w:instrText>
          <w:fldChar w:fldCharType="separate"/>
          <w:t>9</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6" w:history="1">
        <w:r>
          <w:rPr>
            <w:rStyle w:val="Lienhypertexte"/>
            <w:rFonts w:asciiTheme="majorBidi" w:hAnsiTheme="majorBidi" w:cstheme="majorBidi"/>
            <w:noProof/>
          </w:rPr>
          <w:t>Intelligence artificielle</w:t>
        </w:r>
        <w:r>
          <w:rPr>
            <w:rFonts w:asciiTheme="majorBidi" w:hAnsiTheme="majorBidi" w:cstheme="majorBidi"/>
            <w:noProof/>
            <w:webHidden/>
          </w:rPr>
          <w:tab/>
          <w:fldChar w:fldCharType="begin"/>
          <w:instrText xml:space="preserve"> PAGEREF _Toc235311116 \h </w:instrText>
          <w:fldChar w:fldCharType="separate"/>
          <w:t>9</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17" w:history="1">
        <w:r>
          <w:rPr>
            <w:rStyle w:val="Lienhypertexte"/>
            <w:rFonts w:asciiTheme="majorBidi" w:hAnsiTheme="majorBidi" w:cstheme="majorBidi"/>
            <w:noProof/>
          </w:rPr>
          <w:t>Administration et sécurité</w:t>
        </w:r>
        <w:r>
          <w:rPr>
            <w:rFonts w:asciiTheme="majorBidi" w:hAnsiTheme="majorBidi" w:cstheme="majorBidi"/>
            <w:noProof/>
            <w:webHidden/>
          </w:rPr>
          <w:tab/>
          <w:fldChar w:fldCharType="begin"/>
          <w:instrText xml:space="preserve"> PAGEREF _Toc235311117 \h </w:instrText>
          <w:fldChar w:fldCharType="separate"/>
          <w:t>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18" w:history="1">
        <w:r>
          <w:rPr>
            <w:rStyle w:val="Lienhypertexte"/>
            <w:rFonts w:asciiTheme="majorBidi" w:hAnsiTheme="majorBidi" w:cstheme="majorBidi"/>
            <w:noProof/>
          </w:rPr>
          <w:t>2.4 Besoins non fonctionnels</w:t>
        </w:r>
        <w:r>
          <w:rPr>
            <w:rFonts w:asciiTheme="majorBidi" w:hAnsiTheme="majorBidi" w:cstheme="majorBidi"/>
            <w:noProof/>
            <w:webHidden/>
          </w:rPr>
          <w:tab/>
          <w:fldChar w:fldCharType="begin"/>
          <w:instrText xml:space="preserve"> PAGEREF _Toc235311118 \h </w:instrText>
          <w:fldChar w:fldCharType="separate"/>
          <w:t>9</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19" w:history="1">
        <w:r>
          <w:rPr>
            <w:rStyle w:val="Lienhypertexte"/>
            <w:rFonts w:asciiTheme="majorBidi" w:hAnsiTheme="majorBidi" w:cstheme="majorBidi"/>
            <w:noProof/>
            <w:lang w:val="fr-FR"/>
          </w:rPr>
          <w:t>Chapitre 3 — Conception</w:t>
        </w:r>
        <w:r>
          <w:rPr>
            <w:rFonts w:asciiTheme="majorBidi" w:hAnsiTheme="majorBidi" w:cstheme="majorBidi"/>
            <w:noProof/>
            <w:webHidden/>
          </w:rPr>
          <w:tab/>
          <w:fldChar w:fldCharType="begin"/>
          <w:instrText xml:space="preserve"> PAGEREF _Toc235311119 \h </w:instrText>
          <w:fldChar w:fldCharType="separate"/>
          <w:t>10</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0" w:history="1">
        <w:r>
          <w:rPr>
            <w:rStyle w:val="Lienhypertexte"/>
            <w:rFonts w:asciiTheme="majorBidi" w:hAnsiTheme="majorBidi" w:cstheme="majorBidi"/>
            <w:noProof/>
            <w:lang w:val="fr-FR"/>
          </w:rPr>
          <w:t>3.1 Architecture générale</w:t>
        </w:r>
        <w:r>
          <w:rPr>
            <w:rFonts w:asciiTheme="majorBidi" w:hAnsiTheme="majorBidi" w:cstheme="majorBidi"/>
            <w:noProof/>
            <w:webHidden/>
          </w:rPr>
          <w:tab/>
          <w:fldChar w:fldCharType="begin"/>
          <w:instrText xml:space="preserve"> PAGEREF _Toc235311120 \h </w:instrText>
          <w:fldChar w:fldCharType="separate"/>
          <w:t>10</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1" w:history="1">
        <w:r>
          <w:rPr>
            <w:rStyle w:val="Lienhypertexte"/>
            <w:rFonts w:asciiTheme="majorBidi" w:hAnsiTheme="majorBidi" w:cstheme="majorBidi"/>
            <w:noProof/>
            <w:lang w:val="fr-FR"/>
          </w:rPr>
          <w:t>3.2 Modèle de données</w:t>
        </w:r>
        <w:r>
          <w:rPr>
            <w:rFonts w:asciiTheme="majorBidi" w:hAnsiTheme="majorBidi" w:cstheme="majorBidi"/>
            <w:noProof/>
            <w:webHidden/>
          </w:rPr>
          <w:tab/>
          <w:fldChar w:fldCharType="begin"/>
          <w:instrText xml:space="preserve"> PAGEREF _Toc235311121 \h </w:instrText>
          <w:fldChar w:fldCharType="separate"/>
          <w:t>10</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2" w:history="1">
        <w:r>
          <w:rPr>
            <w:rStyle w:val="Lienhypertexte"/>
            <w:rFonts w:asciiTheme="majorBidi" w:hAnsiTheme="majorBidi" w:cstheme="majorBidi"/>
            <w:noProof/>
            <w:lang w:val="fr-FR"/>
          </w:rPr>
          <w:t>3.3 Choix technologiques</w:t>
        </w:r>
        <w:r>
          <w:rPr>
            <w:rFonts w:asciiTheme="majorBidi" w:hAnsiTheme="majorBidi" w:cstheme="majorBidi"/>
            <w:noProof/>
            <w:webHidden/>
          </w:rPr>
          <w:tab/>
          <w:fldChar w:fldCharType="begin"/>
          <w:instrText xml:space="preserve"> PAGEREF _Toc235311122 \h </w:instrText>
          <w:fldChar w:fldCharType="separate"/>
          <w:t>11</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3" w:history="1">
        <w:r>
          <w:rPr>
            <w:rStyle w:val="Lienhypertexte"/>
            <w:rFonts w:asciiTheme="majorBidi" w:hAnsiTheme="majorBidi" w:cstheme="majorBidi"/>
            <w:noProof/>
            <w:lang w:val="fr-FR"/>
          </w:rPr>
          <w:t>3.4 Conception du module de planification quotidienne</w:t>
        </w:r>
        <w:r>
          <w:rPr>
            <w:rFonts w:asciiTheme="majorBidi" w:hAnsiTheme="majorBidi" w:cstheme="majorBidi"/>
            <w:noProof/>
            <w:webHidden/>
          </w:rPr>
          <w:tab/>
          <w:fldChar w:fldCharType="begin"/>
          <w:instrText xml:space="preserve"> PAGEREF _Toc235311123 \h </w:instrText>
          <w:fldChar w:fldCharType="separate"/>
          <w:t>11</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4" w:history="1">
        <w:r>
          <w:rPr>
            <w:rStyle w:val="Lienhypertexte"/>
            <w:rFonts w:asciiTheme="majorBidi" w:hAnsiTheme="majorBidi" w:cstheme="majorBidi"/>
            <w:noProof/>
            <w:lang w:val="fr-FR"/>
          </w:rPr>
          <w:t>3.5 Conception du module Machine Learning</w:t>
        </w:r>
        <w:r>
          <w:rPr>
            <w:rFonts w:asciiTheme="majorBidi" w:hAnsiTheme="majorBidi" w:cstheme="majorBidi"/>
            <w:noProof/>
            <w:webHidden/>
          </w:rPr>
          <w:tab/>
          <w:fldChar w:fldCharType="begin"/>
          <w:instrText xml:space="preserve"> PAGEREF _Toc235311124 \h </w:instrText>
          <w:fldChar w:fldCharType="separate"/>
          <w:t>13</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25" w:history="1">
        <w:r>
          <w:rPr>
            <w:rStyle w:val="Lienhypertexte"/>
            <w:rFonts w:asciiTheme="majorBidi" w:hAnsiTheme="majorBidi" w:cstheme="majorBidi"/>
            <w:noProof/>
            <w:lang w:val="fr-FR"/>
          </w:rPr>
          <w:t>3.5.1 Architecture détaillée du réseau LSTM</w:t>
        </w:r>
        <w:r>
          <w:rPr>
            <w:rFonts w:asciiTheme="majorBidi" w:hAnsiTheme="majorBidi" w:cstheme="majorBidi"/>
            <w:noProof/>
            <w:webHidden/>
          </w:rPr>
          <w:tab/>
          <w:fldChar w:fldCharType="begin"/>
          <w:instrText xml:space="preserve"> PAGEREF _Toc235311125 \h </w:instrText>
          <w:fldChar w:fldCharType="separate"/>
          <w:t>13</w:t>
          <w:fldChar w:fldCharType="end"/>
        </w:r>
      </w:hyperlink>
    </w:p>
    <w:p w:rsidR="0001043E" w:rsidRPr="0001043E" w:rsidRDefault="00522BBD">
      <w:pPr>
        <w:pStyle w:val="TM3"/>
        <w:tabs>
          <w:tab w:val="right" w:leader="dot" w:pos="9062"/>
        </w:tabs>
        <w:rPr>
          <w:rFonts w:asciiTheme="majorBidi" w:hAnsiTheme="majorBidi" w:cstheme="majorBidi"/>
          <w:noProof/>
          <w:lang w:val="fr-FR" w:eastAsia="fr-FR"/>
        </w:rPr>
      </w:pPr>
      <w:hyperlink w:anchor="_Toc235311126" w:history="1">
        <w:r>
          <w:rPr>
            <w:rStyle w:val="Lienhypertexte"/>
            <w:rFonts w:asciiTheme="majorBidi" w:hAnsiTheme="majorBidi" w:cstheme="majorBidi"/>
            <w:noProof/>
            <w:lang w:val="fr-FR"/>
          </w:rPr>
          <w:t>3.5.2 Détecteur d'anomalies Isolation Forest</w:t>
        </w:r>
        <w:r>
          <w:rPr>
            <w:rFonts w:asciiTheme="majorBidi" w:hAnsiTheme="majorBidi" w:cstheme="majorBidi"/>
            <w:noProof/>
            <w:webHidden/>
          </w:rPr>
          <w:tab/>
          <w:fldChar w:fldCharType="begin"/>
          <w:instrText xml:space="preserve"> PAGEREF _Toc235311126 \h </w:instrText>
          <w:fldChar w:fldCharType="separate"/>
          <w:t>14</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27" w:history="1">
        <w:r>
          <w:rPr>
            <w:rStyle w:val="Lienhypertexte"/>
            <w:rFonts w:asciiTheme="majorBidi" w:hAnsiTheme="majorBidi" w:cstheme="majorBidi"/>
            <w:noProof/>
            <w:lang w:val="fr-FR"/>
          </w:rPr>
          <w:t>Chapitre 4 — Réalisation</w:t>
        </w:r>
        <w:r>
          <w:rPr>
            <w:rFonts w:asciiTheme="majorBidi" w:hAnsiTheme="majorBidi" w:cstheme="majorBidi"/>
            <w:noProof/>
            <w:webHidden/>
          </w:rPr>
          <w:tab/>
          <w:fldChar w:fldCharType="begin"/>
          <w:instrText xml:space="preserve"> PAGEREF _Toc235311127 \h </w:instrText>
          <w:fldChar w:fldCharType="separate"/>
          <w:t>16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8" w:history="1">
        <w:r>
          <w:rPr>
            <w:rStyle w:val="Lienhypertexte"/>
            <w:rFonts w:asciiTheme="majorBidi" w:hAnsiTheme="majorBidi" w:cstheme="majorBidi"/>
            <w:noProof/>
            <w:lang w:val="fr-FR"/>
          </w:rPr>
          <w:t>4.1 Environnement de travail</w:t>
        </w:r>
        <w:r>
          <w:rPr>
            <w:rFonts w:asciiTheme="majorBidi" w:hAnsiTheme="majorBidi" w:cstheme="majorBidi"/>
            <w:noProof/>
            <w:webHidden/>
          </w:rPr>
          <w:tab/>
          <w:fldChar w:fldCharType="begin"/>
          <w:instrText xml:space="preserve"> PAGEREF _Toc235311128 \h </w:instrText>
          <w:fldChar w:fldCharType="separate"/>
          <w:t>16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29" w:history="1">
        <w:r>
          <w:rPr>
            <w:rStyle w:val="Lienhypertexte"/>
            <w:rFonts w:asciiTheme="majorBidi" w:hAnsiTheme="majorBidi" w:cstheme="majorBidi"/>
            <w:noProof/>
            <w:lang w:val="fr-FR"/>
          </w:rPr>
          <w:t>4.2 Module Tableau de bord</w:t>
        </w:r>
        <w:r>
          <w:rPr>
            <w:rFonts w:asciiTheme="majorBidi" w:hAnsiTheme="majorBidi" w:cstheme="majorBidi"/>
            <w:noProof/>
            <w:webHidden/>
          </w:rPr>
          <w:tab/>
          <w:fldChar w:fldCharType="begin"/>
          <w:instrText xml:space="preserve"> PAGEREF _Toc235311129 \h </w:instrText>
          <w:fldChar w:fldCharType="separate"/>
          <w:t>16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0" w:history="1">
        <w:r>
          <w:rPr>
            <w:rStyle w:val="Lienhypertexte"/>
            <w:rFonts w:asciiTheme="majorBidi" w:hAnsiTheme="majorBidi" w:cstheme="majorBidi"/>
            <w:noProof/>
            <w:lang w:val="fr-FR"/>
          </w:rPr>
          <w:t>4.3 Module Import de données</w:t>
        </w:r>
        <w:r>
          <w:rPr>
            <w:rFonts w:asciiTheme="majorBidi" w:hAnsiTheme="majorBidi" w:cstheme="majorBidi"/>
            <w:noProof/>
            <w:webHidden/>
          </w:rPr>
          <w:tab/>
          <w:fldChar w:fldCharType="begin"/>
          <w:instrText xml:space="preserve"> PAGEREF _Toc235311130 \h </w:instrText>
          <w:fldChar w:fldCharType="separate"/>
          <w:t>17</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1" w:history="1">
        <w:r>
          <w:rPr>
            <w:rStyle w:val="Lienhypertexte"/>
            <w:rFonts w:asciiTheme="majorBidi" w:hAnsiTheme="majorBidi" w:cstheme="majorBidi"/>
            <w:noProof/>
            <w:lang w:val="fr-FR"/>
          </w:rPr>
          <w:t>4.4 Module Gestion des stations</w:t>
        </w:r>
        <w:r>
          <w:rPr>
            <w:rFonts w:asciiTheme="majorBidi" w:hAnsiTheme="majorBidi" w:cstheme="majorBidi"/>
            <w:noProof/>
            <w:webHidden/>
          </w:rPr>
          <w:tab/>
          <w:fldChar w:fldCharType="begin"/>
          <w:instrText xml:space="preserve"> PAGEREF _Toc235311131 \h </w:instrText>
          <w:fldChar w:fldCharType="separate"/>
          <w:t>18</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2" w:history="1">
        <w:r>
          <w:rPr>
            <w:rStyle w:val="Lienhypertexte"/>
            <w:rFonts w:asciiTheme="majorBidi" w:hAnsiTheme="majorBidi" w:cstheme="majorBidi"/>
            <w:noProof/>
            <w:lang w:val="fr-FR"/>
          </w:rPr>
          <w:t>4.5 Module Indicateurs agroclimatiques</w:t>
        </w:r>
        <w:r>
          <w:rPr>
            <w:rFonts w:asciiTheme="majorBidi" w:hAnsiTheme="majorBidi" w:cstheme="majorBidi"/>
            <w:noProof/>
            <w:webHidden/>
          </w:rPr>
          <w:tab/>
          <w:fldChar w:fldCharType="begin"/>
          <w:instrText xml:space="preserve"> PAGEREF _Toc235311132 \h </w:instrText>
          <w:fldChar w:fldCharType="separate"/>
          <w:t>18</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3" w:history="1">
        <w:r>
          <w:rPr>
            <w:rStyle w:val="Lienhypertexte"/>
            <w:rFonts w:asciiTheme="majorBidi" w:hAnsiTheme="majorBidi" w:cstheme="majorBidi"/>
            <w:noProof/>
            <w:lang w:val="fr-FR"/>
          </w:rPr>
          <w:t>4.6 Module Graphiques</w:t>
        </w:r>
        <w:r>
          <w:rPr>
            <w:rFonts w:asciiTheme="majorBidi" w:hAnsiTheme="majorBidi" w:cstheme="majorBidi"/>
            <w:noProof/>
            <w:webHidden/>
          </w:rPr>
          <w:tab/>
          <w:fldChar w:fldCharType="begin"/>
          <w:instrText xml:space="preserve"> PAGEREF _Toc235311133 \h </w:instrText>
          <w:fldChar w:fldCharType="separate"/>
          <w:t>19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4" w:history="1">
        <w:r>
          <w:rPr>
            <w:rStyle w:val="Lienhypertexte"/>
            <w:rFonts w:asciiTheme="majorBidi" w:hAnsiTheme="majorBidi" w:cstheme="majorBidi"/>
            <w:noProof/>
            <w:lang w:val="fr-FR"/>
          </w:rPr>
          <w:t>4.7 Module Rapports</w:t>
        </w:r>
        <w:r>
          <w:rPr>
            <w:rFonts w:asciiTheme="majorBidi" w:hAnsiTheme="majorBidi" w:cstheme="majorBidi"/>
            <w:noProof/>
            <w:webHidden/>
          </w:rPr>
          <w:tab/>
          <w:fldChar w:fldCharType="begin"/>
          <w:instrText xml:space="preserve"> PAGEREF _Toc235311134 \h </w:instrText>
          <w:fldChar w:fldCharType="separate"/>
          <w:t>20</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5" w:history="1">
        <w:r>
          <w:rPr>
            <w:rStyle w:val="Lienhypertexte"/>
            <w:rFonts w:asciiTheme="majorBidi" w:hAnsiTheme="majorBidi" w:cstheme="majorBidi"/>
            <w:noProof/>
            <w:lang w:val="fr-FR"/>
          </w:rPr>
          <w:t>4.8 Module Prévisions (IA)</w:t>
        </w:r>
        <w:r>
          <w:rPr>
            <w:rFonts w:asciiTheme="majorBidi" w:hAnsiTheme="majorBidi" w:cstheme="majorBidi"/>
            <w:noProof/>
            <w:webHidden/>
          </w:rPr>
          <w:tab/>
          <w:fldChar w:fldCharType="begin"/>
          <w:instrText xml:space="preserve"> PAGEREF _Toc235311135 \h </w:instrText>
          <w:fldChar w:fldCharType="separate"/>
          <w:t>23</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6" w:history="1">
        <w:r>
          <w:rPr>
            <w:rStyle w:val="Lienhypertexte"/>
            <w:rFonts w:asciiTheme="majorBidi" w:hAnsiTheme="majorBidi" w:cstheme="majorBidi"/>
            <w:noProof/>
            <w:lang w:val="fr-FR"/>
          </w:rPr>
          <w:t>4.9 Module Indicateurs — détection d'anomalies (IA)</w:t>
        </w:r>
        <w:r>
          <w:rPr>
            <w:rFonts w:asciiTheme="majorBidi" w:hAnsiTheme="majorBidi" w:cstheme="majorBidi"/>
            <w:noProof/>
            <w:webHidden/>
          </w:rPr>
          <w:tab/>
          <w:fldChar w:fldCharType="begin"/>
          <w:instrText xml:space="preserve"> PAGEREF _Toc235311136 \h </w:instrText>
          <w:fldChar w:fldCharType="separate"/>
          <w:t>23</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7" w:history="1">
        <w:r>
          <w:rPr>
            <w:rStyle w:val="Lienhypertexte"/>
            <w:rFonts w:asciiTheme="majorBidi" w:hAnsiTheme="majorBidi" w:cstheme="majorBidi"/>
            <w:noProof/>
            <w:lang w:val="fr-FR"/>
          </w:rPr>
          <w:t>4.10 Module Utilisateurs et sécurité</w:t>
        </w:r>
        <w:r>
          <w:rPr>
            <w:rFonts w:asciiTheme="majorBidi" w:hAnsiTheme="majorBidi" w:cstheme="majorBidi"/>
            <w:noProof/>
            <w:webHidden/>
          </w:rPr>
          <w:tab/>
          <w:fldChar w:fldCharType="begin"/>
          <w:instrText xml:space="preserve"> PAGEREF _Toc235311137 \h </w:instrText>
          <w:fldChar w:fldCharType="separate"/>
          <w:t>24</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8" w:history="1">
        <w:r>
          <w:rPr>
            <w:rStyle w:val="Lienhypertexte"/>
            <w:rFonts w:asciiTheme="majorBidi" w:hAnsiTheme="majorBidi" w:cstheme="majorBidi"/>
            <w:noProof/>
            <w:lang w:val="fr-FR"/>
          </w:rPr>
          <w:t>4.11 Module Sauvegarde</w:t>
        </w:r>
        <w:r>
          <w:rPr>
            <w:rFonts w:asciiTheme="majorBidi" w:hAnsiTheme="majorBidi" w:cstheme="majorBidi"/>
            <w:noProof/>
            <w:webHidden/>
          </w:rPr>
          <w:tab/>
          <w:fldChar w:fldCharType="begin"/>
          <w:instrText xml:space="preserve"> PAGEREF _Toc235311138 \h </w:instrText>
          <w:fldChar w:fldCharType="separate"/>
          <w:t>25</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39" w:history="1">
        <w:r>
          <w:rPr>
            <w:rStyle w:val="Lienhypertexte"/>
            <w:rFonts w:asciiTheme="majorBidi" w:hAnsiTheme="majorBidi" w:cstheme="majorBidi"/>
            <w:noProof/>
            <w:lang w:val="fr-FR"/>
          </w:rPr>
          <w:t>4.12 Module Machine Learning — pipeline et résultats</w:t>
        </w:r>
        <w:r>
          <w:rPr>
            <w:rFonts w:asciiTheme="majorBidi" w:hAnsiTheme="majorBidi" w:cstheme="majorBidi"/>
            <w:noProof/>
            <w:webHidden/>
          </w:rPr>
          <w:tab/>
          <w:fldChar w:fldCharType="begin"/>
          <w:instrText xml:space="preserve"> PAGEREF _Toc235311139 \h </w:instrText>
          <w:fldChar w:fldCharType="separate"/>
          <w:t>26</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0" w:history="1">
        <w:r>
          <w:rPr>
            <w:rStyle w:val="Lienhypertexte"/>
            <w:rFonts w:asciiTheme="majorBidi" w:hAnsiTheme="majorBidi" w:cstheme="majorBidi"/>
            <w:noProof/>
            <w:lang w:val="fr-FR"/>
          </w:rPr>
          <w:t>4.13 Packaging et distribution (exécutable Windows)</w:t>
        </w:r>
        <w:r>
          <w:rPr>
            <w:rFonts w:asciiTheme="majorBidi" w:hAnsiTheme="majorBidi" w:cstheme="majorBidi"/>
            <w:noProof/>
            <w:webHidden/>
          </w:rPr>
          <w:tab/>
          <w:fldChar w:fldCharType="begin"/>
          <w:instrText xml:space="preserve"> PAGEREF _Toc235311140 \h </w:instrText>
          <w:fldChar w:fldCharType="separate"/>
          <w:t>27</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41" w:history="1">
        <w:r>
          <w:rPr>
            <w:rStyle w:val="Lienhypertexte"/>
            <w:rFonts w:asciiTheme="majorBidi" w:hAnsiTheme="majorBidi" w:cstheme="majorBidi"/>
            <w:noProof/>
            <w:lang w:val="fr-FR"/>
          </w:rPr>
          <w:t>Chapitre 5 — Tests et validation</w:t>
        </w:r>
        <w:r>
          <w:rPr>
            <w:rFonts w:asciiTheme="majorBidi" w:hAnsiTheme="majorBidi" w:cstheme="majorBidi"/>
            <w:noProof/>
            <w:webHidden/>
          </w:rPr>
          <w:tab/>
          <w:fldChar w:fldCharType="begin"/>
          <w:instrText xml:space="preserve"> PAGEREF _Toc235311141 \h </w:instrText>
          <w:fldChar w:fldCharType="separate"/>
          <w:t>29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2" w:history="1">
        <w:r>
          <w:rPr>
            <w:rStyle w:val="Lienhypertexte"/>
            <w:rFonts w:asciiTheme="majorBidi" w:hAnsiTheme="majorBidi" w:cstheme="majorBidi"/>
            <w:noProof/>
            <w:lang w:val="fr-FR"/>
          </w:rPr>
          <w:t>5.1 Démarche de test</w:t>
        </w:r>
        <w:r>
          <w:rPr>
            <w:rFonts w:asciiTheme="majorBidi" w:hAnsiTheme="majorBidi" w:cstheme="majorBidi"/>
            <w:noProof/>
            <w:webHidden/>
          </w:rPr>
          <w:tab/>
          <w:fldChar w:fldCharType="begin"/>
          <w:instrText xml:space="preserve"> PAGEREF _Toc235311142 \h </w:instrText>
          <w:fldChar w:fldCharType="separate"/>
          <w:t>29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3" w:history="1">
        <w:r>
          <w:rPr>
            <w:rStyle w:val="Lienhypertexte"/>
            <w:rFonts w:asciiTheme="majorBidi" w:hAnsiTheme="majorBidi" w:cstheme="majorBidi"/>
            <w:noProof/>
          </w:rPr>
          <w:t>5.2 Tests fonctionnels</w:t>
        </w:r>
        <w:r>
          <w:rPr>
            <w:rFonts w:asciiTheme="majorBidi" w:hAnsiTheme="majorBidi" w:cstheme="majorBidi"/>
            <w:noProof/>
            <w:webHidden/>
          </w:rPr>
          <w:tab/>
          <w:fldChar w:fldCharType="begin"/>
          <w:instrText xml:space="preserve"> PAGEREF _Toc235311143 \h </w:instrText>
          <w:fldChar w:fldCharType="separate"/>
          <w:t>29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4" w:history="1">
        <w:r>
          <w:rPr>
            <w:rStyle w:val="Lienhypertexte"/>
            <w:rFonts w:asciiTheme="majorBidi" w:hAnsiTheme="majorBidi" w:cstheme="majorBidi"/>
            <w:noProof/>
            <w:lang w:val="fr-FR"/>
          </w:rPr>
          <w:t>5.3 Validation des modèles d'apprentissage automatique</w:t>
        </w:r>
        <w:r>
          <w:rPr>
            <w:rFonts w:asciiTheme="majorBidi" w:hAnsiTheme="majorBidi" w:cstheme="majorBidi"/>
            <w:noProof/>
            <w:webHidden/>
          </w:rPr>
          <w:tab/>
          <w:fldChar w:fldCharType="begin"/>
          <w:instrText xml:space="preserve"> PAGEREF _Toc235311144 \h </w:instrText>
          <w:fldChar w:fldCharType="separate"/>
          <w:t>29</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5" w:history="1">
        <w:r>
          <w:rPr>
            <w:rStyle w:val="Lienhypertexte"/>
            <w:rFonts w:asciiTheme="majorBidi" w:hAnsiTheme="majorBidi" w:cstheme="majorBidi"/>
            <w:noProof/>
          </w:rPr>
          <w:t>5.4 Limites identifiées</w:t>
        </w:r>
        <w:r>
          <w:rPr>
            <w:rFonts w:asciiTheme="majorBidi" w:hAnsiTheme="majorBidi" w:cstheme="majorBidi"/>
            <w:noProof/>
            <w:webHidden/>
          </w:rPr>
          <w:tab/>
          <w:fldChar w:fldCharType="begin"/>
          <w:instrText xml:space="preserve"> PAGEREF _Toc235311145 \h </w:instrText>
          <w:fldChar w:fldCharType="separate"/>
          <w:t>29</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46" w:history="1">
        <w:r>
          <w:rPr>
            <w:rStyle w:val="Lienhypertexte"/>
            <w:rFonts w:asciiTheme="majorBidi" w:hAnsiTheme="majorBidi" w:cstheme="majorBidi"/>
            <w:noProof/>
            <w:lang w:val="fr-FR"/>
          </w:rPr>
          <w:t>Conclusion générale et perspectives</w:t>
        </w:r>
        <w:r>
          <w:rPr>
            <w:rFonts w:asciiTheme="majorBidi" w:hAnsiTheme="majorBidi" w:cstheme="majorBidi"/>
            <w:noProof/>
            <w:webHidden/>
          </w:rPr>
          <w:tab/>
          <w:fldChar w:fldCharType="begin"/>
          <w:instrText xml:space="preserve"> PAGEREF _Toc235311146 \h </w:instrText>
          <w:fldChar w:fldCharType="separate"/>
          <w:t>30</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47" w:history="1">
        <w:r>
          <w:rPr>
            <w:rStyle w:val="Lienhypertexte"/>
            <w:rFonts w:asciiTheme="majorBidi" w:hAnsiTheme="majorBidi" w:cstheme="majorBidi"/>
            <w:noProof/>
            <w:lang w:val="fr-FR"/>
          </w:rPr>
          <w:t>Bibliographie et webographie</w:t>
        </w:r>
        <w:r>
          <w:rPr>
            <w:rFonts w:asciiTheme="majorBidi" w:hAnsiTheme="majorBidi" w:cstheme="majorBidi"/>
            <w:noProof/>
            <w:webHidden/>
          </w:rPr>
          <w:tab/>
          <w:fldChar w:fldCharType="begin"/>
          <w:instrText xml:space="preserve"> PAGEREF _Toc235311147 \h </w:instrText>
          <w:fldChar w:fldCharType="separate"/>
          <w:t>31</w:t>
          <w:fldChar w:fldCharType="end"/>
        </w:r>
      </w:hyperlink>
    </w:p>
    <w:p w:rsidR="0001043E" w:rsidRPr="0001043E" w:rsidRDefault="00522BBD">
      <w:pPr>
        <w:pStyle w:val="TM1"/>
        <w:tabs>
          <w:tab w:val="right" w:leader="dot" w:pos="9062"/>
        </w:tabs>
        <w:rPr>
          <w:rFonts w:asciiTheme="majorBidi" w:hAnsiTheme="majorBidi" w:cstheme="majorBidi"/>
          <w:noProof/>
          <w:lang w:val="fr-FR" w:eastAsia="fr-FR"/>
        </w:rPr>
      </w:pPr>
      <w:hyperlink w:anchor="_Toc235311148" w:history="1">
        <w:r>
          <w:rPr>
            <w:rStyle w:val="Lienhypertexte"/>
            <w:rFonts w:asciiTheme="majorBidi" w:hAnsiTheme="majorBidi" w:cstheme="majorBidi"/>
            <w:noProof/>
            <w:lang w:val="fr-FR"/>
          </w:rPr>
          <w:t>Annexes</w:t>
        </w:r>
        <w:r>
          <w:rPr>
            <w:rFonts w:asciiTheme="majorBidi" w:hAnsiTheme="majorBidi" w:cstheme="majorBidi"/>
            <w:noProof/>
            <w:webHidden/>
          </w:rPr>
          <w:tab/>
          <w:fldChar w:fldCharType="begin"/>
          <w:instrText xml:space="preserve"> PAGEREF _Toc235311148 \h </w:instrText>
          <w:fldChar w:fldCharType="separate"/>
          <w:t>32</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49" w:history="1">
        <w:r>
          <w:rPr>
            <w:rStyle w:val="Lienhypertexte"/>
            <w:rFonts w:asciiTheme="majorBidi" w:hAnsiTheme="majorBidi" w:cstheme="majorBidi"/>
            <w:noProof/>
            <w:lang w:val="fr-FR"/>
          </w:rPr>
          <w:t>Annexe A — Structure du projet</w:t>
        </w:r>
        <w:r>
          <w:rPr>
            <w:rFonts w:asciiTheme="majorBidi" w:hAnsiTheme="majorBidi" w:cstheme="majorBidi"/>
            <w:noProof/>
            <w:webHidden/>
          </w:rPr>
          <w:tab/>
          <w:fldChar w:fldCharType="begin"/>
          <w:instrText xml:space="preserve"> PAGEREF _Toc235311149 \h </w:instrText>
          <w:fldChar w:fldCharType="separate"/>
          <w:t>32</w:t>
          <w:fldChar w:fldCharType="end"/>
        </w:r>
      </w:hyperlink>
    </w:p>
    <w:p w:rsidR="0001043E" w:rsidRPr="0001043E" w:rsidRDefault="00522BBD">
      <w:pPr>
        <w:pStyle w:val="TM2"/>
        <w:tabs>
          <w:tab w:val="right" w:leader="dot" w:pos="9062"/>
        </w:tabs>
        <w:rPr>
          <w:rFonts w:asciiTheme="majorBidi" w:hAnsiTheme="majorBidi" w:cstheme="majorBidi"/>
          <w:noProof/>
          <w:lang w:val="fr-FR" w:eastAsia="fr-FR"/>
        </w:rPr>
      </w:pPr>
      <w:hyperlink w:anchor="_Toc235311150" w:history="1">
        <w:r>
          <w:rPr>
            <w:rStyle w:val="Lienhypertexte"/>
            <w:rFonts w:asciiTheme="majorBidi" w:hAnsiTheme="majorBidi" w:cstheme="majorBidi"/>
            <w:noProof/>
          </w:rPr>
          <w:t>Annexe B — Liste des abréviations</w:t>
        </w:r>
        <w:r>
          <w:rPr>
            <w:rFonts w:asciiTheme="majorBidi" w:hAnsiTheme="majorBidi" w:cstheme="majorBidi"/>
            <w:noProof/>
            <w:webHidden/>
          </w:rPr>
          <w:tab/>
          <w:fldChar w:fldCharType="begin"/>
          <w:instrText xml:space="preserve"> PAGEREF _Toc235311150 \h </w:instrText>
          <w:fldChar w:fldCharType="separate"/>
          <w:t>32</w:t>
          <w:fldChar w:fldCharType="end"/>
        </w:r>
      </w:hyperlink>
    </w:p>
    <w:p w:rsidR="00845158" w:rsidRPr="0001043E" w:rsidRDefault="0009058E">
      <w:pPr>
        <w:rPr>
          <w:rFonts w:asciiTheme="majorBidi" w:hAnsiTheme="majorBidi" w:cstheme="majorBidi"/>
          <w:lang w:val="fr-FR"/>
        </w:rPr>
      </w:pPr>
      <w:r>
        <w:rPr>
          <w:rFonts w:asciiTheme="majorBidi" w:hAnsiTheme="majorBidi" w:cstheme="majorBidi"/>
        </w:rPr>
        <w:fldChar w:fldCharType="end"/>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3" w:name="_Toc235311103"/>
      <w:r>
        <w:rPr>
          <w:lang w:val="fr-FR"/>
        </w:rPr>
        <w:lastRenderedPageBreak/>
        <w:t>Introduction générale</w:t>
      </w:r>
      <w:bookmarkEnd w:id="3"/>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gestion de l'eau et le suivi agroclimatique constituent des enjeux centraux pour les offices régionaux de mise en valeur agricole au Maroc, dont la mission consiste à optimiser l'exploitation des ressources hydriques et à accompagner les agriculteurs dans un contexte de variabilité climatique croissante. L'Office Régional de Mise en Valeur Agricole du Gharb (ORMVAG) exploite à cet effet un réseau de stations météorologiques réparties sur les provinces de Kénitra, Sidi Kacem et Sidi Slimane, dont les mesures alimentent quotidiennement des indicateurs agroclimatiques et des bulletins de suivi transmis en interne et à des partenaires institutionnels.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Avant ce projet, le traitement de ces données reposait en grande partie sur des opérations manuelles ou faiblement automatisées : saisie et vérification des relevés, calcul des indicateurs, mise en forme des bulletins et diffusion par courrier électronique. Ce mode de fonctionnement, chronophage et sensible aux erreurs humaines, limitait la réactivité du service face aux besoins de suivi en temps quasi réel, en particulier pour la détection d'événements critiques (gel, stress thermique, déficit hydrique).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C'est dans ce contexte que s'inscrit le présent stage de fin d'études, dont l'objectif a été de concevoir et développer une application de bureau centralisant la collecte, le traitement, la visualisation et la diffusion automatisée des données météorologiques et des indicateurs agroclimatiques de l'ORMVAG, tout en explorant l'apport de techniques d'apprentissage automatique pour la prévision météorologique à court terme et la détection d'anomalies dans les mesures.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 rapport présente l'ensemble de la démarche suivie. Le premier chapitre situe le contexte organisationnel et la problématique du projet. Le deuxième chapitre détaille l'analyse des besoins et le cahier des charges retenu. Le troisième chapitre expose les choix de conception, tant sur le plan architectural que technologique. Le quatrième chapitre décrit la réalisation des différents modules de l'application. Le cinquième chapitre présente la démarche de test et de validation. Le rapport se conclut par un bilan du travail réalisé et les perspectives d'évolution envisagées.</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rsidP="00B8701E">
      <w:pPr>
        <w:pStyle w:val="Titre1"/>
        <w:rPr>
          <w:lang w:val="fr-FR"/>
        </w:rPr>
      </w:pPr>
      <w:bookmarkStart w:id="4" w:name="_Toc235311104"/>
      <w:r>
        <w:rPr>
          <w:lang w:val="fr-FR"/>
        </w:rPr>
        <w:lastRenderedPageBreak/>
        <w:t>Chapitre 1 — Contexte général du projet</w:t>
      </w:r>
      <w:bookmarkEnd w:id="4"/>
    </w:p>
    <w:p w:rsidR="00845158" w:rsidRPr="0001043E" w:rsidRDefault="0009058E" w:rsidP="00B8701E">
      <w:pPr>
        <w:pStyle w:val="Titre2"/>
        <w:rPr>
          <w:lang w:val="fr-FR"/>
        </w:rPr>
      </w:pPr>
      <w:bookmarkStart w:id="5" w:name="_Toc235311105"/>
      <w:r>
        <w:rPr>
          <w:lang w:val="fr-FR"/>
        </w:rPr>
        <w:t>1.1 Présentation de l'organisme d'accueil</w:t>
      </w:r>
      <w:bookmarkEnd w:id="5"/>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L'Office Régional de Mise en Valeur Agricole du Gharb (ORMVAG) est un établissement public marocain chargé du développement et de la gestion des infrastructures hydro-agricoles dans la région du Gharb, ainsi que de l'accompagnement technique des agriculteurs de la zone. Son périmètre d'intervention couvre notamment les provinces de Kénitra, Sidi Kacem et Sidi Slimane.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Au sein de l'ORMVAG, le Service des Études et Données (SED) est en charge du suivi météorologique et agroclimatique du périmètre irrigué : exploitation du réseau de stations de mesure, calcul des indicateurs (pluviométrie, bilan hydrique, gel, stress thermique) et production de bulletins périodiques destinés aux directions internes et aux partenaires institutionnels, dont le bulletin officiel de relevé des précipitations pour la campagne agricole.</w:t>
      </w:r>
    </w:p>
    <w:p w:rsidR="00845158" w:rsidRPr="0001043E" w:rsidRDefault="0009058E">
      <w:pPr>
        <w:pStyle w:val="Titre2"/>
        <w:rPr>
          <w:lang w:val="fr-FR"/>
        </w:rPr>
      </w:pPr>
      <w:bookmarkStart w:id="6" w:name="_Toc235311106"/>
      <w:r>
        <w:rPr>
          <w:lang w:val="fr-FR"/>
        </w:rPr>
        <w:t>1.2 Contexte et problématique</w:t>
      </w:r>
      <w:bookmarkEnd w:id="6"/>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SED dispose d'un réseau de quatorze stations météorologiques automatiques réparties sur les trois provinces du périmètre. Ces stations ne remontent pas leurs mesures directement à l'ORMVAG : elles alimentent une plateforme web tierce de télé-avertissement agricole (avertissement.yobeen.com), qui centralise la télémétrie de l'ensemble du réseau et constitue le dépôt de référence des mesures brutes (température, humidité, pluie, vent, rayonnement). Avant ce projet, la récupération de ces données depuis la plateforme vers les outils de travail du SED reposait sur des exports Excel téléchargés manuellement site par station, puis retraités à l'aide de feuilles de calcul pour produire les indicateurs et les bulletins destinés à la diffusion.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Cette organisation présentait plusieurs limites identifiées en amont du stage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l'absence d'un outil centralisé de gestion des données, entraînant une dispersion des fichiers et un risque d'incohérence entre versions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temps de traitement manuel important pour récupérer les exports depuis la plateforme externe puis produire les bulletins journaliers, au détriment de la réactivité en cas d'événement climatique critique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une absence de traçabilité des accès et des modifications sur les données sensibles (comptes utilisateurs, historique)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aucune capacité de prévision à court terme ni de détection automatique de mesures suspectes (pannes de capteurs, valeurs aberrantes).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projet confié pour ce stage visait à répondre à ces limites par la conception d'une application de bureau dédiée, intégrée au fonctionnement du SED, capable d'automatiser l'ensemble de la chaîne allant de l'import des mesures jusqu'à la diffusion des rapports, tout en introduisant des briques d'intelligence artificielle à valeur ajoutée pour l'aide à la décision.</w:t>
      </w:r>
    </w:p>
    <w:p w:rsidR="00845158" w:rsidRPr="0001043E" w:rsidRDefault="0009058E">
      <w:pPr>
        <w:pStyle w:val="Titre2"/>
        <w:rPr>
          <w:lang w:val="fr-FR"/>
        </w:rPr>
      </w:pPr>
      <w:bookmarkStart w:id="7" w:name="_Toc235311107"/>
      <w:r>
        <w:rPr>
          <w:lang w:val="fr-FR"/>
        </w:rPr>
        <w:t>1.3 Objectifs du stage</w:t>
      </w:r>
      <w:bookmarkEnd w:id="7"/>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Les objectifs assignés au stage peuvent être résumés comme suit :</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lastRenderedPageBreak/>
        <w:t>Développer une application de bureau permettant la gestion centralisée des stations, des mesures et des indicateurs agroclimatiques de l'ORMVAG.</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Automatiser le calcul quotidien des indicateurs agroclimatiques (gel, stress thermique, bilan hydrique, degrés-jours de croissance).</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Automatiser la génération et la diffusion par courrier électronique du bulletin officiel de relevé des précipitations, dans le format utilisé par le SED.</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Mettre en place une tâche planifiée quotidienne robuste, capable de rattraper les traitements en cas d'indisponibilité temporaire de l'application.</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Sécuriser l'accès à l'application par un système d'authentification et de gestion des rôles, avec traçabilité des actions sensibles.</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Explorer l'apport de modèles d'apprentissage automatique pour la prévision météorologique à J+1 et la détection d'anomalies dans les mesures.</w:t>
      </w:r>
    </w:p>
    <w:p w:rsidR="00845158" w:rsidRPr="0001043E" w:rsidRDefault="0009058E">
      <w:pPr>
        <w:pStyle w:val="Listenumros"/>
        <w:spacing w:after="80"/>
        <w:rPr>
          <w:rFonts w:asciiTheme="majorBidi" w:hAnsiTheme="majorBidi" w:cstheme="majorBidi"/>
          <w:lang w:val="fr-FR"/>
        </w:rPr>
      </w:pPr>
      <w:r>
        <w:rPr>
          <w:rFonts w:asciiTheme="majorBidi" w:hAnsiTheme="majorBidi" w:cstheme="majorBidi"/>
          <w:lang w:val="fr-FR"/>
        </w:rPr>
        <w:t>Mettre en place une politique de sauvegarde automatique de la base de données.</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8" w:name="_Toc235311108"/>
      <w:r>
        <w:rPr>
          <w:lang w:val="fr-FR"/>
        </w:rPr>
        <w:lastRenderedPageBreak/>
        <w:t>Chapitre 2 — Analyse et spécification des besoins</w:t>
      </w:r>
      <w:bookmarkEnd w:id="8"/>
    </w:p>
    <w:p w:rsidR="00845158" w:rsidRPr="0001043E" w:rsidRDefault="0009058E">
      <w:pPr>
        <w:pStyle w:val="Titre2"/>
        <w:rPr>
          <w:lang w:val="fr-FR"/>
        </w:rPr>
      </w:pPr>
      <w:bookmarkStart w:id="9" w:name="_Toc235311109"/>
      <w:r>
        <w:rPr>
          <w:lang w:val="fr-FR"/>
        </w:rPr>
        <w:t>2.1 Étude de l'existant</w:t>
      </w:r>
      <w:bookmarkEnd w:id="9"/>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L'étude de l'existant a permis d'identifier les intervenants du processus de suivi météorologique (techniciens en charge de la collecte, responsables du SED, direction), ainsi que la chaîne réelle de circulation de la donnée : les stations du réseau ORMVAG transmettent leur télémétrie à la plateforme web de télé-avertissement Yobeen (avertissement.yobeen.com), et non directement au SED. Les documents de référence utilisés ont également été identifiés, en particulier le format du bulletin « RELEVÉ DES PRÉCIPITATIONS POUR LA CAMPAGNE AGRICOLE » produit par le SED, dont la structure (regroupement par province, moyennes provinciales, comparaison à la campagne précédente et à la normale sur 30 ans) a été reprise à l'identique dans l'application afin d'assurer la continuité avec les pratiques existantes.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format des exports Excel proposés par la plateforme Yobeen (une feuille par station, colonnes ETo/pluie/températures/humidités/rayonnement/vent/type de donnée) a également été analysé, puisque c'est ce même format qui structure aussi bien les fichiers historiques disponibles que les exports récupérés automatiquement par l'application.</w:t>
      </w:r>
    </w:p>
    <w:p w:rsidR="00845158" w:rsidRPr="0001043E" w:rsidRDefault="0009058E">
      <w:pPr>
        <w:pStyle w:val="Titre2"/>
        <w:rPr>
          <w:lang w:val="fr-FR"/>
        </w:rPr>
      </w:pPr>
      <w:bookmarkStart w:id="10" w:name="_Toc235311110"/>
      <w:r>
        <w:rPr>
          <w:lang w:val="fr-FR"/>
        </w:rPr>
        <w:t>2.2 Identification des acteurs</w:t>
      </w:r>
      <w:bookmarkEnd w:id="10"/>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Trois profils d'utilisateurs ont été retenus, correspondant aux rôles gérés par l'application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Administrateur : gestion complète de l'application, y compris les comptes utilisateurs, les rôles et les paramètres système.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Technicien : import et vérification des mesures, gestion des stations, consultation des indicateurs et génération de rapports.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Consultation : accès en lecture seule au tableau de bord, aux graphiques et aux rapports.</w:t>
      </w:r>
    </w:p>
    <w:p w:rsidR="00845158" w:rsidRPr="0001043E" w:rsidRDefault="0009058E">
      <w:pPr>
        <w:pStyle w:val="Titre2"/>
        <w:rPr>
          <w:lang w:val="fr-FR"/>
        </w:rPr>
      </w:pPr>
      <w:bookmarkStart w:id="11" w:name="_Toc235311111"/>
      <w:r>
        <w:rPr>
          <w:lang w:val="fr-FR"/>
        </w:rPr>
        <w:t>2.3 Cahier des charges fonctionnel</w:t>
      </w:r>
      <w:bookmarkEnd w:id="11"/>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cahier des charges fonctionnel retenu pour l'application couvre les besoins suivants, organisés par domaine :</w:t>
      </w:r>
    </w:p>
    <w:p w:rsidR="00845158" w:rsidRPr="0001043E" w:rsidRDefault="0009058E">
      <w:pPr>
        <w:pStyle w:val="Titre3"/>
        <w:rPr>
          <w:rFonts w:asciiTheme="majorBidi" w:hAnsiTheme="majorBidi"/>
          <w:color w:val="auto"/>
        </w:rPr>
      </w:pPr>
      <w:bookmarkStart w:id="12" w:name="_Toc235311112"/>
      <w:r>
        <w:rPr>
          <w:rFonts w:asciiTheme="majorBidi" w:hAnsiTheme="majorBidi"/>
          <w:color w:val="auto"/>
        </w:rPr>
        <w:t>Tableau de bord et visualisation</w:t>
      </w:r>
      <w:bookmarkEnd w:id="12"/>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Vue d'ensemble en temps réel : stations actives, mesures du jour, température moyenne, tendances.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Système d'alertes automatiques (gel, stress thermique, déficit hydrique).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Carte interactive de localisation des stations avec statut visuel (OK / déficit / alerte).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Graphiques d'évolution par variable météorologique (température, humidité, pluie, vent) sur différentes périodes.</w:t>
      </w:r>
    </w:p>
    <w:p w:rsidR="00845158" w:rsidRPr="0001043E" w:rsidRDefault="0009058E">
      <w:pPr>
        <w:pStyle w:val="Titre3"/>
        <w:rPr>
          <w:rFonts w:asciiTheme="majorBidi" w:hAnsiTheme="majorBidi"/>
          <w:color w:val="auto"/>
        </w:rPr>
      </w:pPr>
      <w:bookmarkStart w:id="13" w:name="_Toc235311113"/>
      <w:r>
        <w:rPr>
          <w:rFonts w:asciiTheme="majorBidi" w:hAnsiTheme="majorBidi"/>
          <w:color w:val="auto"/>
        </w:rPr>
        <w:t>Gestion des données</w:t>
      </w:r>
      <w:bookmarkEnd w:id="13"/>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Import automatique des mesures météo depuis la plateforme externe Yobeen (avertissement.yobeen.com), par connexion authentifiée et téléchargement des exports Excel de chaque station, avec traitement en arrière-plan pour ne pas bloquer l'interface.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lastRenderedPageBreak/>
        <w:t>Import manuel d'un fichier Excel/CSV déjà présent sur le poste (même format que les exports Yobeen), pour les cas où le fichier a été récupéré par un autre moyen.</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Import d'historique météo pluriannuel par station, de façon idempotente (sans doublon en cas de ré-import).</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Gestion des stations : création, modification, suivi de l'état (actif/inactif).</w:t>
      </w:r>
    </w:p>
    <w:p w:rsidR="00845158" w:rsidRPr="0001043E" w:rsidRDefault="0009058E">
      <w:pPr>
        <w:pStyle w:val="Titre3"/>
        <w:rPr>
          <w:rFonts w:asciiTheme="majorBidi" w:hAnsiTheme="majorBidi"/>
          <w:color w:val="auto"/>
        </w:rPr>
      </w:pPr>
      <w:bookmarkStart w:id="14" w:name="_Toc235311114"/>
      <w:r>
        <w:rPr>
          <w:rFonts w:asciiTheme="majorBidi" w:hAnsiTheme="majorBidi"/>
          <w:color w:val="auto"/>
        </w:rPr>
        <w:t>Indicateurs agroclimatiques</w:t>
      </w:r>
      <w:bookmarkEnd w:id="14"/>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Calcul automatique et quotidien des indicateurs journaliers par station : cumuls de pluie (7 j, 30 j, saison), cumul d'ETo sur 7 jours, bilan hydrique, jours sans pluie consécutifs, détection de gel, détection de stress thermique, degrés-jours de croissance (GDD) journaliers et cumulés sur la saison.</w:t>
      </w:r>
    </w:p>
    <w:p w:rsidR="00845158" w:rsidRPr="0001043E" w:rsidRDefault="0009058E">
      <w:pPr>
        <w:pStyle w:val="Titre3"/>
        <w:rPr>
          <w:rFonts w:asciiTheme="majorBidi" w:hAnsiTheme="majorBidi"/>
          <w:color w:val="auto"/>
        </w:rPr>
      </w:pPr>
      <w:bookmarkStart w:id="15" w:name="_Toc235311115"/>
      <w:r>
        <w:rPr>
          <w:rFonts w:asciiTheme="majorBidi" w:hAnsiTheme="majorBidi"/>
          <w:color w:val="auto"/>
        </w:rPr>
        <w:t>Rapports</w:t>
      </w:r>
      <w:bookmarkEnd w:id="15"/>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Génération de rapports (Excel avec graphiques, PDF, CSV) à partir des données collectées, groupés par province.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Génération automatique quotidienne du bulletin officiel de relevé des précipitations, avec envoi par courrier électronique.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Envoi manuel de rapports depuis l'interface, avec choix de la période, des stations et du format.</w:t>
      </w:r>
    </w:p>
    <w:p w:rsidR="00845158" w:rsidRPr="0001043E" w:rsidRDefault="0009058E">
      <w:pPr>
        <w:pStyle w:val="Titre3"/>
        <w:rPr>
          <w:rFonts w:asciiTheme="majorBidi" w:hAnsiTheme="majorBidi"/>
          <w:color w:val="auto"/>
        </w:rPr>
      </w:pPr>
      <w:bookmarkStart w:id="16" w:name="_Toc235311116"/>
      <w:r>
        <w:rPr>
          <w:rFonts w:asciiTheme="majorBidi" w:hAnsiTheme="majorBidi"/>
          <w:color w:val="auto"/>
        </w:rPr>
        <w:t>Intelligence artificielle</w:t>
      </w:r>
      <w:bookmarkEnd w:id="16"/>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Prévision à J+1 (pluie, température) par station, à partir d'un historique de mesures.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Détection des journées statistiquement atypiques (anomalies) en complément des règles de plausibilité physique déjà en place.</w:t>
      </w:r>
    </w:p>
    <w:p w:rsidR="00845158" w:rsidRPr="0001043E" w:rsidRDefault="0009058E">
      <w:pPr>
        <w:pStyle w:val="Titre3"/>
        <w:rPr>
          <w:rFonts w:asciiTheme="majorBidi" w:hAnsiTheme="majorBidi"/>
          <w:color w:val="auto"/>
        </w:rPr>
      </w:pPr>
      <w:bookmarkStart w:id="17" w:name="_Toc235311117"/>
      <w:r>
        <w:rPr>
          <w:rFonts w:asciiTheme="majorBidi" w:hAnsiTheme="majorBidi"/>
          <w:color w:val="auto"/>
        </w:rPr>
        <w:t>Administration et sécurité</w:t>
      </w:r>
      <w:bookmarkEnd w:id="17"/>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Authentification des utilisateurs et contrôle d'accès basé sur les rôles.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Historique des modifications sensibles (comptes, rôles, mots de passe).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Sauvegarde manuelle et automatique planifiée de la base de données, avec purge des sauvegardes les plus anciennes.</w:t>
      </w:r>
    </w:p>
    <w:p w:rsidR="00845158" w:rsidRPr="0001043E" w:rsidRDefault="0009058E">
      <w:pPr>
        <w:pStyle w:val="Titre2"/>
      </w:pPr>
      <w:bookmarkStart w:id="18" w:name="_Toc235311118"/>
      <w:r>
        <w:t>2.4 Besoins non fonctionnels</w:t>
      </w:r>
      <w:bookmarkEnd w:id="18"/>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Fiabilité : la tâche planifiée quotidienne doit pouvoir se rattraper automatiquement en cas d'indisponibilité de l'application, sans intervention manuelle.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Résilience : l'échec d'une étape du traitement quotidien (ex. envoi d'e-mail sans configuration SMTP) ne doit pas empêcher l'exécution des étapes suivantes.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Continuité métier : le format des bulletins générés doit rester conforme à celui utilisé historiquement par le SED, afin de ne pas perturber les destinataires habituels.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Sécurité : les mots de passe doivent être stockés de façon hachée, jamais en clair, et les actions sensibles doivent être journalisées.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Compatibilité : l'application doit fonctionner en environnement Windows, plateforme utilisée par les postes de travail du SED.</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Maintenabilité : l'architecture logicielle doit séparer clairement les couches modèles, services et interface, afin de faciliter les évolutions futures.</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19" w:name="_Toc235311119"/>
      <w:r>
        <w:rPr>
          <w:lang w:val="fr-FR"/>
        </w:rPr>
        <w:lastRenderedPageBreak/>
        <w:t>Chapitre 3 — Conception</w:t>
      </w:r>
      <w:bookmarkEnd w:id="19"/>
    </w:p>
    <w:p w:rsidR="00845158" w:rsidRPr="0001043E" w:rsidRDefault="0009058E">
      <w:pPr>
        <w:pStyle w:val="Titre2"/>
        <w:rPr>
          <w:lang w:val="fr-FR"/>
        </w:rPr>
      </w:pPr>
      <w:bookmarkStart w:id="20" w:name="_Toc235311120"/>
      <w:r>
        <w:rPr>
          <w:lang w:val="fr-FR"/>
        </w:rPr>
        <w:t>3.1 Architecture générale</w:t>
      </w:r>
      <w:bookmarkEnd w:id="20"/>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L'application repose sur une architecture en couches, séparant la présentation, la logique métier et l'accès aux données, ce qui facilite la maintenance et l'évolution indépendante de chaque couche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models/ — modèles SQLAlchemy représentant les entités persistées (Station, Mesure, IndicateurJournalier, Role, User, HistoriqueModification)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services/ — logique métier : calcul des indicateurs, génération des alertes, génération des rapports, envoi d'e-mails, sauvegarde, historique, planification, prévision et détection d'anomalies par apprentissage automatique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views/ — pages de l'interface graphique (tableau de bord, import, stations, indicateurs, graphiques, carte, rapports, prévisions, utilisateurs, paramètres)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workers/ — traitements exécutés en arrière-plan (import de données), afin de ne pas bloquer l'interface pendant les opérations longues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database.py — configuration de la connexion à la base de données PostgreSQL.</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Un module ML/ distinct regroupe le pipeline de préparation des données et d'entraînement des modèles d'apprentissage automatique, exécuté hors ligne, dont les artefacts (modèle LSTM, détecteur d'anomalies) sont ensuite chargés par l'application.</w:t>
      </w:r>
    </w:p>
    <w:p w:rsidR="003C03A6" w:rsidRPr="0001043E" w:rsidRDefault="0009058E" w:rsidP="003C03A6">
      <w:pPr>
        <w:keepNext/>
        <w:jc w:val="right"/>
        <w:rPr>
          <w:rFonts w:asciiTheme="majorBidi" w:hAnsiTheme="majorBidi" w:cstheme="majorBidi"/>
        </w:rPr>
      </w:pPr>
      <w:r>
        <w:rPr>
          <w:rFonts w:asciiTheme="majorBidi" w:hAnsiTheme="majorBidi" w:cstheme="majorBidi"/>
          <w:noProof/>
          <w:lang w:val="fr-FR" w:eastAsia="fr-FR"/>
        </w:rPr>
        <w:drawing>
          <wp:inline distT="0" distB="0" distL="0" distR="0" wp14:anchorId="26F55C4F" wp14:editId="2DE2FAF9">
            <wp:extent cx="5579361" cy="3768919"/>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rotWithShape="1">
                    <a:blip r:embed="rId10"/>
                    <a:srcRect b="10694"/>
                    <a:stretch/>
                  </pic:blipFill>
                  <pic:spPr bwMode="auto">
                    <a:xfrm>
                      <a:off x="0" y="0"/>
                      <a:ext cx="5580000" cy="3769350"/>
                    </a:xfrm>
                    <a:prstGeom prst="rect">
                      <a:avLst/>
                    </a:prstGeom>
                    <a:ln>
                      <a:noFill/>
                    </a:ln>
                    <a:extLst>
                      <a:ext uri="{53640926-AAD7-44D8-BBD7-CCE9431645EC}">
                        <a14:shadowObscured xmlns:a14="http://schemas.microsoft.com/office/drawing/2010/main"/>
                      </a:ext>
                    </a:extLst>
                  </pic:spPr>
                </pic:pic>
              </a:graphicData>
            </a:graphic>
          </wp:inline>
        </w:drawing>
      </w:r>
    </w:p>
    <w:p w:rsidR="00845158" w:rsidRPr="0001043E" w:rsidRDefault="003C03A6" w:rsidP="003C03A6">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w:t>
      </w:r>
      <w:r>
        <w:rPr>
          <w:rFonts w:asciiTheme="majorBidi" w:hAnsiTheme="majorBidi" w:cstheme="majorBidi"/>
        </w:rPr>
        <w:fldChar w:fldCharType="end"/>
      </w:r>
      <w:r>
        <w:rPr>
          <w:rFonts w:asciiTheme="majorBidi" w:hAnsiTheme="majorBidi" w:cstheme="majorBidi"/>
          <w:lang w:val="fr-FR"/>
        </w:rPr>
        <w:t>: Architecture logicielle en couches de l'application</w:t>
      </w:r>
    </w:p>
    <w:p w:rsidR="00845158" w:rsidRPr="0001043E" w:rsidRDefault="0009058E">
      <w:pPr>
        <w:pStyle w:val="Titre2"/>
        <w:rPr>
          <w:lang w:val="fr-FR"/>
        </w:rPr>
      </w:pPr>
      <w:bookmarkStart w:id="21" w:name="_Toc235311121"/>
      <w:r>
        <w:rPr>
          <w:lang w:val="fr-FR"/>
        </w:rPr>
        <w:t>3.2 Modèle de données</w:t>
      </w:r>
      <w:bookmarkEnd w:id="21"/>
    </w:p>
    <w:p w:rsidR="00845158" w:rsidRPr="0001043E" w:rsidRDefault="0009058E">
      <w:pPr>
        <w:spacing w:line="312" w:lineRule="auto"/>
        <w:jc w:val="both"/>
        <w:rPr>
          <w:rFonts w:asciiTheme="majorBidi" w:hAnsiTheme="majorBidi" w:cstheme="majorBidi"/>
        </w:rPr>
      </w:pPr>
      <w:r>
        <w:rPr>
          <w:rFonts w:asciiTheme="majorBidi" w:hAnsiTheme="majorBidi" w:cstheme="majorBidi"/>
          <w:lang w:val="fr-FR"/>
        </w:rPr>
        <w:t xml:space="preserve">Le modèle de données a été conçu autour de trois entités centrales — station, mesure et indicateur journalier — reliées par une relation de un-à-plusieurs, complétées par les entités de gestion des accès </w:t>
        <w:lastRenderedPageBreak/>
        <w:t xml:space="preserve">(utilisateur, rôle) et de traçabilité (historique des modifications). </w:t>
      </w:r>
      <w:r>
        <w:rPr>
          <w:rFonts w:asciiTheme="majorBidi" w:hAnsiTheme="majorBidi" w:cstheme="majorBidi"/>
        </w:rPr>
        <w:t>Le tableau suivant résume les principales entités :</w:t>
      </w:r>
    </w:p>
    <w:tbl>
      <w:tblPr>
        <w:tblStyle w:val="Grilledutableau"/>
        <w:tblW w:w="0" w:type="auto"/>
        <w:jc w:val="center"/>
        <w:tblLook w:val="04A0" w:firstRow="1" w:lastRow="0" w:firstColumn="1" w:lastColumn="0" w:noHBand="0" w:noVBand="1"/>
      </w:tblPr>
      <w:tblGrid>
        <w:gridCol w:w="2105"/>
        <w:gridCol w:w="3685"/>
        <w:gridCol w:w="2835"/>
      </w:tblGrid>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b/>
                <w:sz w:val="21"/>
              </w:rPr>
              <w:t>Table</w:t>
            </w:r>
          </w:p>
        </w:tc>
        <w:tc>
          <w:tcPr>
            <w:tcW w:w="3685" w:type="dxa"/>
          </w:tcPr>
          <w:p w:rsidR="00845158" w:rsidRPr="0001043E" w:rsidRDefault="0009058E">
            <w:pPr>
              <w:rPr>
                <w:rFonts w:asciiTheme="majorBidi" w:hAnsiTheme="majorBidi" w:cstheme="majorBidi"/>
              </w:rPr>
            </w:pPr>
            <w:r>
              <w:rPr>
                <w:rFonts w:asciiTheme="majorBidi" w:hAnsiTheme="majorBidi" w:cstheme="majorBidi"/>
                <w:b/>
                <w:sz w:val="21"/>
              </w:rPr>
              <w:t>Champs principaux</w:t>
            </w:r>
          </w:p>
        </w:tc>
        <w:tc>
          <w:tcPr>
            <w:tcW w:w="2835" w:type="dxa"/>
          </w:tcPr>
          <w:p w:rsidR="00845158" w:rsidRPr="0001043E" w:rsidRDefault="0009058E">
            <w:pPr>
              <w:rPr>
                <w:rFonts w:asciiTheme="majorBidi" w:hAnsiTheme="majorBidi" w:cstheme="majorBidi"/>
              </w:rPr>
            </w:pPr>
            <w:r>
              <w:rPr>
                <w:rFonts w:asciiTheme="majorBidi" w:hAnsiTheme="majorBidi" w:cstheme="majorBidi"/>
                <w:b/>
                <w:sz w:val="21"/>
              </w:rPr>
              <w:t>Rôle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Station</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id, nom, code, latitude, longitude, actif, province</w:t>
            </w:r>
          </w:p>
        </w:tc>
        <w:tc>
          <w:tcPr>
            <w:tcW w:w="283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Référentiel des stations de mesure du réseau ORMVAG</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Mesure</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station_id, date_heure, température (min/moy/max), humidité, pluie, vent, rayonnement, ETo, type_donnée</w:t>
            </w:r>
          </w:p>
        </w:tc>
        <w:tc>
          <w:tcPr>
            <w:tcW w:w="283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Mesures brutes remontées par station</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IndicateurJournalier</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station_id, date, cumuls de pluie (7/30 j/saison), ETo 7 j, bilan hydrique, gel, stress thermique, GDD</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Indicateurs agroclimatiques calculés quotidiennement</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User</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username, password_hash, nom_complet, email, role_id, actif, dernière_connexion</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Comptes utilisateurs de l'application</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Role</w:t>
            </w:r>
          </w:p>
        </w:tc>
        <w:tc>
          <w:tcPr>
            <w:tcW w:w="3685" w:type="dxa"/>
          </w:tcPr>
          <w:p w:rsidR="00845158" w:rsidRPr="0001043E" w:rsidRDefault="0009058E">
            <w:pPr>
              <w:rPr>
                <w:rFonts w:asciiTheme="majorBidi" w:hAnsiTheme="majorBidi" w:cstheme="majorBidi"/>
              </w:rPr>
            </w:pPr>
            <w:r>
              <w:rPr>
                <w:rFonts w:asciiTheme="majorBidi" w:hAnsiTheme="majorBidi" w:cstheme="majorBidi"/>
                <w:sz w:val="20"/>
              </w:rPr>
              <w:t>nom, description</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Rôles (Administrateur, Technicien, Consultation)</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HistoriqueModification</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acteur_id, action, cible_type, cible_id, description, date_heure</w:t>
            </w:r>
          </w:p>
        </w:tc>
        <w:tc>
          <w:tcPr>
            <w:tcW w:w="283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Journal des actions sensibles sur les comptes et rôles</w:t>
            </w:r>
          </w:p>
        </w:tc>
      </w:tr>
    </w:tbl>
    <w:p w:rsidR="00845158" w:rsidRPr="0001043E" w:rsidRDefault="0009058E">
      <w:pPr>
        <w:spacing w:before="40" w:after="320"/>
        <w:jc w:val="center"/>
        <w:rPr>
          <w:rFonts w:asciiTheme="majorBidi" w:hAnsiTheme="majorBidi" w:cstheme="majorBidi"/>
          <w:lang w:val="fr-FR"/>
        </w:rPr>
      </w:pPr>
      <w:r>
        <w:rPr>
          <w:rFonts w:asciiTheme="majorBidi" w:hAnsiTheme="majorBidi" w:cstheme="majorBidi"/>
          <w:i/>
          <w:sz w:val="20"/>
          <w:lang w:val="fr-FR"/>
        </w:rPr>
        <w:t>Tableau 1 — Principales entités du modèle de données</w:t>
      </w:r>
    </w:p>
    <w:p w:rsidR="00845158" w:rsidRPr="0001043E" w:rsidRDefault="0009058E">
      <w:pPr>
        <w:pStyle w:val="Titre2"/>
        <w:rPr>
          <w:lang w:val="fr-FR"/>
        </w:rPr>
      </w:pPr>
      <w:bookmarkStart w:id="22" w:name="_Toc235311122"/>
      <w:r>
        <w:rPr>
          <w:lang w:val="fr-FR"/>
        </w:rPr>
        <w:t>3.3 Choix technologiques</w:t>
      </w:r>
      <w:bookmarkEnd w:id="22"/>
    </w:p>
    <w:p w:rsidR="00845158" w:rsidRPr="0001043E" w:rsidRDefault="0009058E">
      <w:pPr>
        <w:spacing w:line="312" w:lineRule="auto"/>
        <w:jc w:val="both"/>
        <w:rPr>
          <w:rFonts w:asciiTheme="majorBidi" w:hAnsiTheme="majorBidi" w:cstheme="majorBidi"/>
        </w:rPr>
      </w:pPr>
      <w:r>
        <w:rPr>
          <w:rFonts w:asciiTheme="majorBidi" w:hAnsiTheme="majorBidi" w:cstheme="majorBidi"/>
          <w:lang w:val="fr-FR"/>
        </w:rPr>
        <w:t xml:space="preserve">Les choix technologiques ont été guidés par trois critères : la compatibilité avec l'environnement Windows des postes du SED, la disponibilité d'un écosystème Python mature pour le traitement de données et l'apprentissage automatique, et la nécessité de produire une application de bureau autonome ne dépendant pas d'un accès Internet permanent. </w:t>
      </w:r>
      <w:r>
        <w:rPr>
          <w:rFonts w:asciiTheme="majorBidi" w:hAnsiTheme="majorBidi" w:cstheme="majorBidi"/>
        </w:rPr>
        <w:t>Le tableau suivant récapitule la pile technologique retenue :</w:t>
      </w:r>
    </w:p>
    <w:tbl>
      <w:tblPr>
        <w:tblStyle w:val="Grilledutableau"/>
        <w:tblW w:w="0" w:type="auto"/>
        <w:jc w:val="center"/>
        <w:tblLook w:val="04A0" w:firstRow="1" w:lastRow="0" w:firstColumn="1" w:lastColumn="0" w:noHBand="0" w:noVBand="1"/>
      </w:tblPr>
      <w:tblGrid>
        <w:gridCol w:w="1984"/>
        <w:gridCol w:w="3118"/>
        <w:gridCol w:w="3118"/>
      </w:tblGrid>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b/>
                <w:sz w:val="21"/>
              </w:rPr>
              <w:t>Domaine</w:t>
            </w:r>
          </w:p>
        </w:tc>
        <w:tc>
          <w:tcPr>
            <w:tcW w:w="3118" w:type="dxa"/>
          </w:tcPr>
          <w:p w:rsidR="00845158" w:rsidRPr="0001043E" w:rsidRDefault="0009058E">
            <w:pPr>
              <w:rPr>
                <w:rFonts w:asciiTheme="majorBidi" w:hAnsiTheme="majorBidi" w:cstheme="majorBidi"/>
              </w:rPr>
            </w:pPr>
            <w:r>
              <w:rPr>
                <w:rFonts w:asciiTheme="majorBidi" w:hAnsiTheme="majorBidi" w:cstheme="majorBidi"/>
                <w:b/>
                <w:sz w:val="21"/>
              </w:rPr>
              <w:t>Technologie</w:t>
            </w:r>
          </w:p>
        </w:tc>
        <w:tc>
          <w:tcPr>
            <w:tcW w:w="3118" w:type="dxa"/>
          </w:tcPr>
          <w:p w:rsidR="00845158" w:rsidRPr="0001043E" w:rsidRDefault="0009058E">
            <w:pPr>
              <w:rPr>
                <w:rFonts w:asciiTheme="majorBidi" w:hAnsiTheme="majorBidi" w:cstheme="majorBidi"/>
              </w:rPr>
            </w:pPr>
            <w:r>
              <w:rPr>
                <w:rFonts w:asciiTheme="majorBidi" w:hAnsiTheme="majorBidi" w:cstheme="majorBidi"/>
                <w:b/>
                <w:sz w:val="21"/>
              </w:rPr>
              <w:t>Rôle</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Interface graphique</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PySide6 (Qt for Python)</w:t>
            </w:r>
          </w:p>
        </w:tc>
        <w:tc>
          <w:tcPr>
            <w:tcW w:w="311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Construction de l'application de bureau</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Base de données</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PostgreSQL + SQLAlchemy</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Persistance des données, ORM</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Graphiques</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Matplotlib</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Visualisation des tendances météorologiques</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Cartographie</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Leaflet.js (via QWebEngineView)</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Carte interactive des stations</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Authentification</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bcrypt</w:t>
            </w:r>
          </w:p>
        </w:tc>
        <w:tc>
          <w:tcPr>
            <w:tcW w:w="311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Hachage sécurisé des mots de passe</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Planification</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APScheduler</w:t>
            </w:r>
          </w:p>
        </w:tc>
        <w:tc>
          <w:tcPr>
            <w:tcW w:w="311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Exécution de la tâche quotidienne à 6h00</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Prévision météo</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TensorFlow / Keras (LSTM)</w:t>
            </w:r>
          </w:p>
        </w:tc>
        <w:tc>
          <w:tcPr>
            <w:tcW w:w="311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Prévision de la pluie, de la température et de l'ETo à J+1 (étude exploratoire détaillée au Chapitre 6)</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Détection d'anomalies</w:t>
            </w:r>
          </w:p>
        </w:tc>
        <w:tc>
          <w:tcPr>
            <w:tcW w:w="3118" w:type="dxa"/>
          </w:tcPr>
          <w:p w:rsidR="00845158" w:rsidRPr="0001043E" w:rsidRDefault="0009058E">
            <w:pPr>
              <w:rPr>
                <w:rFonts w:asciiTheme="majorBidi" w:hAnsiTheme="majorBidi" w:cstheme="majorBidi"/>
              </w:rPr>
            </w:pPr>
            <w:r>
              <w:rPr>
                <w:rFonts w:asciiTheme="majorBidi" w:hAnsiTheme="majorBidi" w:cstheme="majorBidi"/>
                <w:sz w:val="20"/>
              </w:rPr>
              <w:t>scikit-learn (Isolation Forest)</w:t>
            </w:r>
          </w:p>
        </w:tc>
        <w:tc>
          <w:tcPr>
            <w:tcW w:w="311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Repérage des journées statistiquement atypiques</w:t>
            </w:r>
          </w:p>
        </w:tc>
      </w:tr>
    </w:tbl>
    <w:p w:rsidR="00845158" w:rsidRPr="0001043E" w:rsidRDefault="0009058E">
      <w:pPr>
        <w:spacing w:before="40" w:after="320"/>
        <w:jc w:val="center"/>
        <w:rPr>
          <w:rFonts w:asciiTheme="majorBidi" w:hAnsiTheme="majorBidi" w:cstheme="majorBidi"/>
          <w:lang w:val="fr-FR"/>
        </w:rPr>
      </w:pPr>
      <w:r>
        <w:rPr>
          <w:rFonts w:asciiTheme="majorBidi" w:hAnsiTheme="majorBidi" w:cstheme="majorBidi"/>
          <w:i/>
          <w:sz w:val="20"/>
          <w:lang w:val="fr-FR"/>
        </w:rPr>
        <w:t>Tableau 2 — Stack technique de l'application</w:t>
      </w:r>
    </w:p>
    <w:p w:rsidR="00845158" w:rsidRPr="0001043E" w:rsidRDefault="0009058E">
      <w:pPr>
        <w:pStyle w:val="Titre2"/>
        <w:rPr>
          <w:lang w:val="fr-FR"/>
        </w:rPr>
      </w:pPr>
      <w:bookmarkStart w:id="23" w:name="_Toc235311123"/>
      <w:r>
        <w:rPr>
          <w:lang w:val="fr-FR"/>
        </w:rPr>
        <w:t>3.4 Conception du module de planification quotidienne</w:t>
      </w:r>
      <w:bookmarkEnd w:id="23"/>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La tâche planifiée quotidienne (6h00, module APScheduler) a été conçue comme une séquence d'étapes indépendantes — import automatique des mesures, recalcul des indicateurs sur les ~45 derniers jours, génération et envoi du relevé des précipitations, sauvegarde de la base — de sorte que l'échec d'une étape (par exemple une configuration SMTP absente) n'empêche pas l'exécution des suivantes. Un mécanisme de rattrapage a par ailleurs été conçu pour le cas où l'application resterait fermée au moment prévu : la fenêtre d'import est alors élargie à la durée réelle de l'absence, plafonnée </w:t>
        <w:lastRenderedPageBreak/>
        <w:t>à 14 jours, et un relevé distinct est généré pour chaque jour manqué plutôt qu'un unique rapport pour le jour le plus récent.</w:t>
      </w:r>
    </w:p>
    <w:p w:rsidR="003C03A6" w:rsidRPr="0001043E" w:rsidRDefault="0009058E" w:rsidP="003C03A6">
      <w:pPr>
        <w:keepNext/>
        <w:jc w:val="center"/>
        <w:rPr>
          <w:rFonts w:asciiTheme="majorBidi" w:hAnsiTheme="majorBidi" w:cstheme="majorBidi"/>
        </w:rPr>
      </w:pPr>
      <w:r>
        <w:rPr>
          <w:rFonts w:asciiTheme="majorBidi" w:hAnsiTheme="majorBidi" w:cstheme="majorBidi"/>
          <w:noProof/>
          <w:lang w:val="fr-FR" w:eastAsia="fr-FR"/>
        </w:rPr>
        <w:drawing>
          <wp:inline distT="0" distB="0" distL="0" distR="0" wp14:anchorId="333628F5" wp14:editId="3FCE1E50">
            <wp:extent cx="5579487" cy="4190338"/>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_6h.png"/>
                    <pic:cNvPicPr/>
                  </pic:nvPicPr>
                  <pic:blipFill rotWithShape="1">
                    <a:blip r:embed="rId11"/>
                    <a:srcRect b="17913"/>
                    <a:stretch/>
                  </pic:blipFill>
                  <pic:spPr bwMode="auto">
                    <a:xfrm>
                      <a:off x="0" y="0"/>
                      <a:ext cx="5580000" cy="4190723"/>
                    </a:xfrm>
                    <a:prstGeom prst="rect">
                      <a:avLst/>
                    </a:prstGeom>
                    <a:ln>
                      <a:noFill/>
                    </a:ln>
                    <a:extLst>
                      <a:ext uri="{53640926-AAD7-44D8-BBD7-CCE9431645EC}">
                        <a14:shadowObscured xmlns:a14="http://schemas.microsoft.com/office/drawing/2010/main"/>
                      </a:ext>
                    </a:extLst>
                  </pic:spPr>
                </pic:pic>
              </a:graphicData>
            </a:graphic>
          </wp:inline>
        </w:drawing>
      </w:r>
    </w:p>
    <w:p w:rsidR="00845158" w:rsidRPr="0001043E" w:rsidRDefault="003C03A6" w:rsidP="003C03A6">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2</w:t>
      </w:r>
      <w:r>
        <w:rPr>
          <w:rFonts w:asciiTheme="majorBidi" w:hAnsiTheme="majorBidi" w:cstheme="majorBidi"/>
        </w:rPr>
        <w:fldChar w:fldCharType="end"/>
      </w:r>
      <w:r>
        <w:rPr>
          <w:rFonts w:asciiTheme="majorBidi" w:hAnsiTheme="majorBidi" w:cstheme="majorBidi"/>
          <w:lang w:val="fr-FR"/>
        </w:rPr>
        <w:t>:Déroulement de la tâche planifiée quotidienne (6h00) et rattrapage en cas d'absence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mécanisme de rattrapage repose sur un fichier marqueur (.dernier_run_quotidien) écrit après chaque exécution réussie. Au démarrage de l'application, si ce marqueur ne correspond pas à la date du jour, la fonction _jours_manques() reconstruit la liste des cycles agrométéorologiques (6h-6h, convention OMM) non couverts depuis le dernier passage, plafonnée à MAX_JOURS_RATTRAPAGE (14 jours)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1 — app/services/scheduler.py : reconstruction des cycles manqués</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def _jours_manques():</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aujourdhui = _date_reference_6h()</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if not os.path.exists(CHEMIN_MARQUEUR_DERNIER_RUN):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[aujourdhui]</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with open(CHEMIN_MARQUEUR_DERNIER_RUN) as f:</w:t>
            </w:r>
          </w:p>
          <w:p w:rsidR="00845158" w:rsidRPr="00A44867"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dernier_run = date.fromisoformat(f.read().strip())</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rPr>
              <w:t xml:space="preserve">    </w:t>
            </w:r>
            <w:r>
              <w:rPr>
                <w:rFonts w:asciiTheme="majorBidi" w:hAnsiTheme="majorBidi" w:cstheme="majorBidi"/>
                <w:sz w:val="17"/>
                <w:lang w:val="fr-FR"/>
              </w:rPr>
              <w:t>if dernier_run &gt;= aujourdhui:</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nb_jours = (aujourdhui - dernier_run).days</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if nb_jours &gt; MAX_JOURS_RATTRAPAGE: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dernier_run = aujourdhui - timedelta(days=MAX_JOURS_RATTRAPAGE)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jours =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curseur = dernier_run + timedelta(days=1)</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while curseur &lt;= aujourdhui:</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jours.append(curseur)</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curseur += timedelta(days=1)</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return jours</w:t>
            </w:r>
          </w:p>
        </w:tc>
      </w:tr>
    </w:tbl>
    <w:p w:rsidR="00845158" w:rsidRPr="0001043E" w:rsidRDefault="00845158">
      <w:pPr>
        <w:spacing w:after="40"/>
        <w:rPr>
          <w:rFonts w:asciiTheme="majorBidi" w:hAnsiTheme="majorBidi" w:cstheme="majorBidi"/>
        </w:rPr>
      </w:pP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lastRenderedPageBreak/>
        <w:t>Chacune des quatre étapes de tache_quotidienne_6h() est encapsulée dans son propre bloc try/except : une exception dans l'import, par exemple, est journalisée mais n'empêche ni le recalcul des indicateurs, ni la génération des rapports, ni la sauvegarde. Cette conception défensive découle directement d'un besoin exprimé par le SED : un incident isolé (absence de réseau, station en panne) ne doit jamais faire perdre le bénéfice des autres traitements du jour.</w:t>
      </w:r>
    </w:p>
    <w:p w:rsidR="00845158" w:rsidRPr="0001043E" w:rsidRDefault="0009058E">
      <w:pPr>
        <w:pStyle w:val="Titre2"/>
        <w:rPr>
          <w:lang w:val="fr-FR"/>
        </w:rPr>
      </w:pPr>
      <w:bookmarkStart w:id="24" w:name="_Toc235311124"/>
      <w:r>
        <w:rPr>
          <w:lang w:val="fr-FR"/>
        </w:rPr>
        <w:t>3.5 Conception du module Machine Learning</w:t>
      </w:r>
      <w:bookmarkEnd w:id="24"/>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Deux modèles ont été conçus pour répondre aux besoins de prévision et de détection d'anomalies, entraînés sur l'historique météorologique des quatorze stations du réseau (jusqu'à dix ans de données journalières selon la station)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modèle LSTM (Long Short-Term Memory) multi-stations, prenant en entrée les 30 derniers jours de mesures pour prévoir la pluie, la température et l'ETo du lendemain — étude exploratoire détaillée à part (Chapitre 6)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modèle Isolation Forest, détectant les journées dont la combinaison de variables (température, humidité, pluie, vent) s'écarte statistiquement du comportement habituel de la station.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pipeline de données associé comprend l'import de l'historique, un diagnostic de qualité des données (trous, doublons, valeurs suspectes), un nettoyage des mesures issues de pannes de capteurs, puis la préparation des fenêtres d'entraînement (segmentation aux trous supérieurs à 7 jours, interpolation des petits trous, découpage chronologique train/validation/test) avant l'entraînement proprement dit. Ce pipeline est conçu pour être rejoué manuellement lorsque de nouvelles données historiques doivent être intégrées.</w:t>
      </w:r>
    </w:p>
    <w:p w:rsidR="00845158" w:rsidRPr="0001043E" w:rsidRDefault="0009058E">
      <w:pPr>
        <w:pStyle w:val="Titre3"/>
        <w:rPr>
          <w:rFonts w:asciiTheme="majorBidi" w:hAnsiTheme="majorBidi"/>
          <w:color w:val="auto"/>
          <w:lang w:val="fr-FR"/>
        </w:rPr>
      </w:pPr>
      <w:bookmarkStart w:id="26" w:name="_Toc235311126"/>
      <w:r>
        <w:rPr>
          <w:rFonts w:asciiTheme="majorBidi" w:hAnsiTheme="majorBidi"/>
          <w:color w:val="auto"/>
          <w:lang w:val="fr-FR"/>
        </w:rPr>
        <w:t>3.5.1 Détecteur d'anomalies Isolation Forest</w:t>
      </w:r>
      <w:bookmarkEnd w:id="26"/>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modèle Isolation Forest a été retenu pour sa capacité à détecter des anomalies multivariées sans nécessiter de données labellisées : le principe consiste à isoler chaque observation par des partitions aléatoires successives des variables, les observations atypiques nécessitant en moyenne moins de partitions pour être isolées que les observations normales. Chaque mesure est représentée par les dix variables météorologiques brutes, complétées par un encodage one-hot de la station :</w:t>
      </w:r>
    </w:p>
    <w:tbl>
      <w:tblPr>
        <w:tblStyle w:val="Grilledutableau"/>
        <w:tblW w:w="0" w:type="auto"/>
        <w:jc w:val="center"/>
        <w:tblLook w:val="04A0" w:firstRow="1" w:lastRow="0" w:firstColumn="1" w:lastColumn="0" w:noHBand="0" w:noVBand="1"/>
      </w:tblPr>
      <w:tblGrid>
        <w:gridCol w:w="1984"/>
        <w:gridCol w:w="2268"/>
        <w:gridCol w:w="3969"/>
      </w:tblGrid>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b/>
                <w:sz w:val="21"/>
              </w:rPr>
              <w:t>Hyperparamètre</w:t>
            </w:r>
          </w:p>
        </w:tc>
        <w:tc>
          <w:tcPr>
            <w:tcW w:w="2268" w:type="dxa"/>
          </w:tcPr>
          <w:p w:rsidR="00845158" w:rsidRPr="0001043E" w:rsidRDefault="0009058E">
            <w:pPr>
              <w:rPr>
                <w:rFonts w:asciiTheme="majorBidi" w:hAnsiTheme="majorBidi" w:cstheme="majorBidi"/>
              </w:rPr>
            </w:pPr>
            <w:r>
              <w:rPr>
                <w:rFonts w:asciiTheme="majorBidi" w:hAnsiTheme="majorBidi" w:cstheme="majorBidi"/>
                <w:b/>
                <w:sz w:val="21"/>
              </w:rPr>
              <w:t>Valeur</w:t>
            </w:r>
          </w:p>
        </w:tc>
        <w:tc>
          <w:tcPr>
            <w:tcW w:w="3969" w:type="dxa"/>
          </w:tcPr>
          <w:p w:rsidR="00845158" w:rsidRPr="0001043E" w:rsidRDefault="0009058E">
            <w:pPr>
              <w:rPr>
                <w:rFonts w:asciiTheme="majorBidi" w:hAnsiTheme="majorBidi" w:cstheme="majorBidi"/>
              </w:rPr>
            </w:pPr>
            <w:r>
              <w:rPr>
                <w:rFonts w:asciiTheme="majorBidi" w:hAnsiTheme="majorBidi" w:cstheme="majorBidi"/>
                <w:b/>
                <w:sz w:val="21"/>
              </w:rPr>
              <w:t>Justification</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n_estimators</w:t>
            </w:r>
          </w:p>
        </w:tc>
        <w:tc>
          <w:tcPr>
            <w:tcW w:w="2268" w:type="dxa"/>
          </w:tcPr>
          <w:p w:rsidR="00845158" w:rsidRPr="0001043E" w:rsidRDefault="0009058E">
            <w:pPr>
              <w:rPr>
                <w:rFonts w:asciiTheme="majorBidi" w:hAnsiTheme="majorBidi" w:cstheme="majorBidi"/>
              </w:rPr>
            </w:pPr>
            <w:r>
              <w:rPr>
                <w:rFonts w:asciiTheme="majorBidi" w:hAnsiTheme="majorBidi" w:cstheme="majorBidi"/>
                <w:sz w:val="20"/>
              </w:rPr>
              <w:t>200</w:t>
            </w:r>
          </w:p>
        </w:tc>
        <w:tc>
          <w:tcPr>
            <w:tcW w:w="3969"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Nombre d'arbres d'isolation ; valeur stabilisant le score sans coût de calcul excessif</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contamination</w:t>
            </w:r>
          </w:p>
        </w:tc>
        <w:tc>
          <w:tcPr>
            <w:tcW w:w="2268" w:type="dxa"/>
          </w:tcPr>
          <w:p w:rsidR="00845158" w:rsidRPr="0001043E" w:rsidRDefault="0009058E">
            <w:pPr>
              <w:rPr>
                <w:rFonts w:asciiTheme="majorBidi" w:hAnsiTheme="majorBidi" w:cstheme="majorBidi"/>
              </w:rPr>
            </w:pPr>
            <w:r>
              <w:rPr>
                <w:rFonts w:asciiTheme="majorBidi" w:hAnsiTheme="majorBidi" w:cstheme="majorBidi"/>
                <w:sz w:val="20"/>
              </w:rPr>
              <w:t>0,02</w:t>
            </w:r>
          </w:p>
        </w:tc>
        <w:tc>
          <w:tcPr>
            <w:tcW w:w="3969"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Proportion attendue d'anomalies (pannes/erreurs capteur), estimée rare et ponctuelle</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random_state</w:t>
            </w:r>
          </w:p>
        </w:tc>
        <w:tc>
          <w:tcPr>
            <w:tcW w:w="2268" w:type="dxa"/>
          </w:tcPr>
          <w:p w:rsidR="00845158" w:rsidRPr="0001043E" w:rsidRDefault="0009058E">
            <w:pPr>
              <w:rPr>
                <w:rFonts w:asciiTheme="majorBidi" w:hAnsiTheme="majorBidi" w:cstheme="majorBidi"/>
              </w:rPr>
            </w:pPr>
            <w:r>
              <w:rPr>
                <w:rFonts w:asciiTheme="majorBidi" w:hAnsiTheme="majorBidi" w:cstheme="majorBidi"/>
                <w:sz w:val="20"/>
              </w:rPr>
              <w:t>42</w:t>
            </w:r>
          </w:p>
        </w:tc>
        <w:tc>
          <w:tcPr>
            <w:tcW w:w="3969"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Graine fixée pour la reproductibilité des résultats</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Variables</w:t>
            </w:r>
          </w:p>
        </w:tc>
        <w:tc>
          <w:tcPr>
            <w:tcW w:w="226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10 mesures brutes + identité station (one-hot)</w:t>
            </w:r>
          </w:p>
        </w:tc>
        <w:tc>
          <w:tcPr>
            <w:tcW w:w="3969"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ETo, pluie, T° min/moy/max, humidité min/moy/max, rayonnement, vent</w:t>
            </w:r>
          </w:p>
        </w:tc>
      </w:tr>
      <w:tr w:rsidR="00845158" w:rsidRPr="0001043E" w:rsidTr="00786993">
        <w:trPr>
          <w:jc w:val="center"/>
        </w:trPr>
        <w:tc>
          <w:tcPr>
            <w:tcW w:w="1984" w:type="dxa"/>
          </w:tcPr>
          <w:p w:rsidR="00845158" w:rsidRPr="0001043E" w:rsidRDefault="0009058E">
            <w:pPr>
              <w:rPr>
                <w:rFonts w:asciiTheme="majorBidi" w:hAnsiTheme="majorBidi" w:cstheme="majorBidi"/>
              </w:rPr>
            </w:pPr>
            <w:r>
              <w:rPr>
                <w:rFonts w:asciiTheme="majorBidi" w:hAnsiTheme="majorBidi" w:cstheme="majorBidi"/>
                <w:sz w:val="20"/>
              </w:rPr>
              <w:t>Valeurs manquantes</w:t>
            </w:r>
          </w:p>
        </w:tc>
        <w:tc>
          <w:tcPr>
            <w:tcW w:w="2268"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imputation par la médiane de chaque variable</w:t>
            </w:r>
          </w:p>
        </w:tc>
        <w:tc>
          <w:tcPr>
            <w:tcW w:w="3969"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Évite d'exclure des observations partiellement incomplètes</w:t>
            </w:r>
          </w:p>
        </w:tc>
      </w:tr>
    </w:tbl>
    <w:p w:rsidR="00845158" w:rsidRPr="0001043E" w:rsidRDefault="0009058E">
      <w:pPr>
        <w:spacing w:before="40" w:after="320"/>
        <w:jc w:val="center"/>
        <w:rPr>
          <w:rFonts w:asciiTheme="majorBidi" w:hAnsiTheme="majorBidi" w:cstheme="majorBidi"/>
          <w:i/>
          <w:sz w:val="20"/>
          <w:lang w:val="fr-FR"/>
        </w:rPr>
      </w:pPr>
      <w:r>
        <w:rPr>
          <w:rFonts w:asciiTheme="majorBidi" w:hAnsiTheme="majorBidi" w:cstheme="majorBidi"/>
          <w:i/>
          <w:sz w:val="20"/>
          <w:lang w:val="fr-FR"/>
        </w:rPr>
        <w:t>Tableau 3 — Hyperparamètres du détecteur d'anomalies (ML/entrainer_detecteur_anomalies.py)</w:t>
      </w:r>
    </w:p>
    <w:p w:rsidR="00193F42" w:rsidRPr="0001043E" w:rsidRDefault="00193F42">
      <w:pPr>
        <w:spacing w:before="40" w:after="320"/>
        <w:jc w:val="center"/>
        <w:rPr>
          <w:rFonts w:asciiTheme="majorBidi" w:hAnsiTheme="majorBidi" w:cstheme="majorBidi"/>
          <w:i/>
          <w:sz w:val="20"/>
          <w:lang w:val="fr-FR"/>
        </w:rPr>
      </w:pPr>
    </w:p>
    <w:p w:rsidR="00193F42" w:rsidRPr="0001043E" w:rsidRDefault="00193F42">
      <w:pPr>
        <w:spacing w:before="40" w:after="320"/>
        <w:jc w:val="center"/>
        <w:rPr>
          <w:rFonts w:asciiTheme="majorBidi" w:hAnsiTheme="majorBidi" w:cstheme="majorBidi"/>
          <w:i/>
          <w:sz w:val="20"/>
          <w:lang w:val="fr-FR"/>
        </w:rPr>
      </w:pPr>
    </w:p>
    <w:p w:rsidR="00193F42" w:rsidRPr="0001043E" w:rsidRDefault="00193F42">
      <w:pPr>
        <w:spacing w:before="40" w:after="320"/>
        <w:jc w:val="center"/>
        <w:rPr>
          <w:rFonts w:asciiTheme="majorBidi" w:hAnsiTheme="majorBidi" w:cstheme="majorBidi"/>
          <w:lang w:val="fr-FR"/>
        </w:rPr>
      </w:pP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lastRenderedPageBreak/>
        <w:t>Extrait 2 — ML/entrainer_detecteur_anomalies.py : entraînement</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modele = IsolationForest(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n_estimators=200, contamination=CONTAMINATION,</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random_state=42, n_jobs=-1</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modele.fit(X)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scores = modele.decision_function(X)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predictions = modele.predict(X)  # -1 = anomalie, 1 = normal</w:t>
            </w:r>
          </w:p>
        </w:tc>
      </w:tr>
    </w:tbl>
    <w:p w:rsidR="00845158" w:rsidRPr="0001043E" w:rsidRDefault="00845158">
      <w:pPr>
        <w:spacing w:after="40"/>
        <w:rPr>
          <w:rFonts w:asciiTheme="majorBidi" w:hAnsiTheme="majorBidi" w:cstheme="majorBidi"/>
        </w:rPr>
      </w:pPr>
    </w:p>
    <w:p w:rsidR="00845158" w:rsidRPr="0001043E" w:rsidRDefault="0009058E">
      <w:pPr>
        <w:rPr>
          <w:rFonts w:asciiTheme="majorBidi" w:hAnsiTheme="majorBidi" w:cstheme="majorBidi"/>
        </w:rPr>
      </w:pPr>
      <w:r>
        <w:rPr>
          <w:rFonts w:asciiTheme="majorBidi" w:hAnsiTheme="majorBidi" w:cstheme="majorBidi"/>
        </w:rPr>
        <w:br w:type="page"/>
      </w:r>
    </w:p>
    <w:p w:rsidR="00845158" w:rsidRPr="0001043E" w:rsidRDefault="0009058E">
      <w:pPr>
        <w:pStyle w:val="Titre1"/>
        <w:rPr>
          <w:lang w:val="fr-FR"/>
        </w:rPr>
      </w:pPr>
      <w:bookmarkStart w:id="27" w:name="_Toc235311127"/>
      <w:r>
        <w:rPr>
          <w:lang w:val="fr-FR"/>
        </w:rPr>
        <w:lastRenderedPageBreak/>
        <w:t>Chapitre 4 — Réalisation</w:t>
      </w:r>
      <w:bookmarkEnd w:id="27"/>
    </w:p>
    <w:p w:rsidR="00845158" w:rsidRPr="0001043E" w:rsidRDefault="0009058E">
      <w:pPr>
        <w:pStyle w:val="Titre2"/>
        <w:rPr>
          <w:lang w:val="fr-FR"/>
        </w:rPr>
      </w:pPr>
      <w:bookmarkStart w:id="28" w:name="_Toc235311128"/>
      <w:r>
        <w:rPr>
          <w:lang w:val="fr-FR"/>
        </w:rPr>
        <w:t>4.1 Environnement de travail</w:t>
      </w:r>
      <w:bookmarkEnd w:id="28"/>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développement a été réalisé en Python 3.10+, avec PostgreSQL comme système de gestion de base de données. L'interface graphique a été construite avec PySide6, et le contrôle de version du code source a été assuré avec Git.</w:t>
      </w:r>
    </w:p>
    <w:p w:rsidR="00845158" w:rsidRPr="0001043E" w:rsidRDefault="0009058E">
      <w:pPr>
        <w:pStyle w:val="Titre2"/>
        <w:rPr>
          <w:lang w:val="fr-FR"/>
        </w:rPr>
      </w:pPr>
      <w:bookmarkStart w:id="29" w:name="_Toc235311129"/>
      <w:r>
        <w:rPr>
          <w:lang w:val="fr-FR"/>
        </w:rPr>
        <w:t>4.2 Module Tableau de bord</w:t>
      </w:r>
      <w:bookmarkEnd w:id="29"/>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page de tableau de bord offre une vue d'ensemble en temps réel de l'état du réseau de stations : nombre de stations actives, mesures reçues dans la journée, température moyenne du réseau et tendances récentes. Un système d'alertes signale automatiquement les situations critiques (gel, stress thermique, déficit hydrique) détectées à partir des indicateurs calculés, et une carte interactive (Leaflet.js, intégrée via QWebEngineView) permet de visualiser la localisation et le statut de chaque station.</w:t>
      </w:r>
    </w:p>
    <w:p w:rsidR="000E3AEF" w:rsidRPr="0001043E" w:rsidRDefault="0009058E" w:rsidP="00D4718E">
      <w:pPr>
        <w:spacing w:line="312" w:lineRule="auto"/>
        <w:jc w:val="both"/>
        <w:rPr>
          <w:rFonts w:asciiTheme="majorBidi" w:hAnsiTheme="majorBidi" w:cstheme="majorBidi"/>
          <w:lang w:val="fr-FR"/>
        </w:rPr>
      </w:pPr>
      <w:r>
        <w:rPr>
          <w:rFonts w:asciiTheme="majorBidi" w:hAnsiTheme="majorBidi" w:cstheme="majorBidi"/>
          <w:lang w:val="fr-FR"/>
        </w:rPr>
        <w:t>L'interface a fait l'objet d'une itération de conception après retour direct sur son aspect visuel initial, jugé trop proche des tableaux de bord génériques produits par défaut par les outils d'assistance au développement (cartes en boîtes blanches avec ombre portée, badges d'icônes colorés, palette multicolore par indicateur). Elle a été retravaillée vers un style plus sobre et institutionnel : suppression des ombres portées et des badges d'icônes, structuration par la typographie (titres de section soulignés d'une règle de couleur) et par des séparateurs fins plutôt que par des encadrés, navigation latérale regroupée en quatre sections thématiques. Cette itération illustre une démarche de conception centrée sur le retour utilisateur plutôt qu'un choix figé dès la première version.</w:t>
      </w:r>
    </w:p>
    <w:p w:rsidR="000E3AEF" w:rsidRPr="0001043E" w:rsidRDefault="000E3AEF" w:rsidP="000E3AEF">
      <w:pPr>
        <w:keepNext/>
        <w:spacing w:after="40"/>
        <w:rPr>
          <w:rFonts w:asciiTheme="majorBidi" w:hAnsiTheme="majorBidi" w:cstheme="majorBidi"/>
        </w:rPr>
      </w:pPr>
      <w:r>
        <w:rPr>
          <w:rFonts w:asciiTheme="majorBidi" w:hAnsiTheme="majorBidi" w:cstheme="majorBidi"/>
          <w:noProof/>
          <w:lang w:val="fr-FR" w:eastAsia="fr-FR"/>
        </w:rPr>
        <w:drawing>
          <wp:inline distT="0" distB="0" distL="0" distR="0" wp14:anchorId="52629093" wp14:editId="2A514BC5">
            <wp:extent cx="5760720" cy="30949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94990"/>
                    </a:xfrm>
                    <a:prstGeom prst="rect">
                      <a:avLst/>
                    </a:prstGeom>
                  </pic:spPr>
                </pic:pic>
              </a:graphicData>
            </a:graphic>
          </wp:inline>
        </w:drawing>
      </w:r>
    </w:p>
    <w:p w:rsidR="000E3AEF" w:rsidRPr="0001043E" w:rsidRDefault="000E3AEF" w:rsidP="00D4718E">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3</w:t>
      </w:r>
      <w:r>
        <w:rPr>
          <w:rFonts w:asciiTheme="majorBidi" w:hAnsiTheme="majorBidi" w:cstheme="majorBidi"/>
        </w:rPr>
        <w:fldChar w:fldCharType="end"/>
      </w:r>
      <w:r>
        <w:rPr>
          <w:rFonts w:asciiTheme="majorBidi" w:hAnsiTheme="majorBidi" w:cstheme="majorBidi"/>
          <w:lang w:val="fr-FR"/>
        </w:rPr>
        <w:t>: Page Tableau de bord — vue d'ensemble, alertes et carte des stations</w:t>
      </w:r>
    </w:p>
    <w:p w:rsidR="00845158" w:rsidRPr="0001043E" w:rsidRDefault="0009058E">
      <w:pPr>
        <w:pStyle w:val="Titre2"/>
        <w:rPr>
          <w:lang w:val="fr-FR"/>
        </w:rPr>
      </w:pPr>
      <w:bookmarkStart w:id="30" w:name="_Toc235311130"/>
      <w:r>
        <w:rPr>
          <w:lang w:val="fr-FR"/>
        </w:rPr>
        <w:lastRenderedPageBreak/>
        <w:t>4.3 Module Import de données</w:t>
      </w:r>
      <w:bookmarkEnd w:id="30"/>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module d'import couvre deux chemins distincts, tous deux aboutissant au même schéma de données en base. L'import automatique (import_automatique.py) est un client web qui se connecte, avec des identifiants dédiés stockés dans .env, à la plateforme externe de télé-avertissement agricole Yobeen (avertissement.yobeen.com) sur laquelle remonte la télémétrie de l'ensemble des stations du réseau ORMVAG. Pour chaque station, identifiée par un identifiant numérique propre à la plateforme, il interroge l'endpoint d'export de Yobeen, récupère un fichier Excel encodé en base64 dans la réponse, puis le parse et l'insère dans la base PostgreSQL. C'est ce mécanisme qui est exécuté chaque jour à 6h00 dans le cadre de la tâche planifiée, et qui peut aussi être déclenché manuellement depuis l'interface pour une fenêtre de jours donnée. L'import manuel (importer_donnees_reelles.py), lui, charge simplement un fichier Excel/CSV déjà présent sur le poste — au même format que les exports Yobeen — pour les cas où ce fichier a été récupéré par un autre moyen que l'import automatique. Dans les deux cas, le traitement est exécuté en arrière-plan (module workers/import_worker.py) afin de ne pas bloquer l'interface. Un script dédié (importer_historique_excel.py) permet en complément l'import d'un historique météorologique pluriannuel à partir d'exports Yobeen déjà téléchargés, feuille par feuille, avec reconnaissance des stations par nom ou par identifiant externe, et un fonctionnement idempotent qui ignore les dates déjà confirmées ainsi que les lignes correspondant à des pannes de capteur.</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3 — import_automatique.py : récupération authentifiée depuis la plateforme Yobeen</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URL_LOGIN = "https://avertissement.yobeen.com/user/login"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URL_EXPORT = "https://avertissement.yobeen.com/telechargement/downloadexcelSheets"</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def se_connecter(log=print):</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session = requests.Session()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reponse = session.post(URL_LOGIN, data={</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"email": TELEPHONE, "password": MOT_DE_PASSE,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 allow_redirects=True)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if "login" in reponse.url.lower():</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rPr>
              <w:t xml:space="preserve">        </w:t>
            </w:r>
            <w:r>
              <w:rPr>
                <w:rFonts w:asciiTheme="majorBidi" w:hAnsiTheme="majorBidi" w:cstheme="majorBidi"/>
                <w:sz w:val="17"/>
                <w:lang w:val="fr-FR"/>
              </w:rPr>
              <w:t>raise RuntimeError("Connexion échouée : identifiants invalides ou site injoignable.")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session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def telecharger_donnees(session, id_station, date_debut, date_fin):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reponse = session.post(URL_EXPORT, data={</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"stations[]": id_station, "type_data": 2,</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"date_start": date_debut, "date_end": date_fin,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 headers={"X-Requested-With": "XMLHttpRequest"})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rPr>
              <w:t xml:space="preserve">    </w:t>
            </w:r>
            <w:r>
              <w:rPr>
                <w:rFonts w:asciiTheme="majorBidi" w:hAnsiTheme="majorBidi" w:cstheme="majorBidi"/>
                <w:sz w:val="17"/>
                <w:lang w:val="fr-FR"/>
              </w:rPr>
              <w:t>donnees_json = reponse.json()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contenu_fichier = base64.b64decode(donnees_json["file"].split(",", 1)[1])</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return io.BytesIO(contenu_fichier)</w:t>
            </w:r>
          </w:p>
        </w:tc>
      </w:tr>
    </w:tbl>
    <w:p w:rsidR="00845158" w:rsidRPr="0001043E" w:rsidRDefault="00845158">
      <w:pPr>
        <w:spacing w:after="40"/>
        <w:rPr>
          <w:rFonts w:asciiTheme="majorBidi" w:hAnsiTheme="majorBidi" w:cstheme="majorBidi"/>
        </w:rPr>
      </w:pP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Cette dépendance à une plateforme externe implique que l'application ne peut importer de nouvelles mesures que si Yobeen est accessible et que les identifiants de connexion restent valides ; en cas d'indisponibilité du site, seule l'étape d'import échoue dans la tâche quotidienne (voir §3.4), les autres étapes continuant de s'exécuter sur les données déjà en base.</w:t>
      </w:r>
    </w:p>
    <w:p w:rsidR="00845158" w:rsidRPr="0001043E" w:rsidRDefault="00845158">
      <w:pPr>
        <w:spacing w:after="40"/>
        <w:rPr>
          <w:rFonts w:asciiTheme="majorBidi" w:hAnsiTheme="majorBidi" w:cstheme="majorBidi"/>
          <w:lang w:val="fr-FR"/>
        </w:rPr>
      </w:pPr>
    </w:p>
    <w:p w:rsidR="00D4718E" w:rsidRPr="0001043E" w:rsidRDefault="00D4718E" w:rsidP="00D4718E">
      <w:pPr>
        <w:keepNext/>
        <w:spacing w:after="40"/>
        <w:rPr>
          <w:rFonts w:asciiTheme="majorBidi" w:hAnsiTheme="majorBidi" w:cstheme="majorBidi"/>
        </w:rPr>
      </w:pPr>
      <w:r>
        <w:rPr>
          <w:rFonts w:asciiTheme="majorBidi" w:hAnsiTheme="majorBidi" w:cstheme="majorBidi"/>
          <w:noProof/>
          <w:lang w:val="fr-FR" w:eastAsia="fr-FR"/>
        </w:rPr>
        <w:lastRenderedPageBreak/>
        <w:drawing>
          <wp:inline distT="0" distB="0" distL="0" distR="0" wp14:anchorId="3F084C12" wp14:editId="3C5B1532">
            <wp:extent cx="5760720" cy="3077210"/>
            <wp:effectExtent l="0" t="0" r="0" b="88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77210"/>
                    </a:xfrm>
                    <a:prstGeom prst="rect">
                      <a:avLst/>
                    </a:prstGeom>
                  </pic:spPr>
                </pic:pic>
              </a:graphicData>
            </a:graphic>
          </wp:inline>
        </w:drawing>
      </w:r>
    </w:p>
    <w:p w:rsidR="00D4718E" w:rsidRPr="0001043E" w:rsidRDefault="00D4718E" w:rsidP="00D4718E">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4</w:t>
      </w:r>
      <w:r>
        <w:rPr>
          <w:rFonts w:asciiTheme="majorBidi" w:hAnsiTheme="majorBidi" w:cstheme="majorBidi"/>
        </w:rPr>
        <w:fldChar w:fldCharType="end"/>
      </w:r>
      <w:r>
        <w:rPr>
          <w:rFonts w:asciiTheme="majorBidi" w:hAnsiTheme="majorBidi" w:cstheme="majorBidi"/>
          <w:lang w:val="fr-FR"/>
        </w:rPr>
        <w:t>: Page Import de données — sélection de fichier et suivi de la progression</w:t>
      </w:r>
    </w:p>
    <w:p w:rsidR="00845158" w:rsidRPr="0001043E" w:rsidRDefault="0009058E">
      <w:pPr>
        <w:pStyle w:val="Titre2"/>
        <w:rPr>
          <w:lang w:val="fr-FR"/>
        </w:rPr>
      </w:pPr>
      <w:bookmarkStart w:id="31" w:name="_Toc235311131"/>
      <w:r>
        <w:rPr>
          <w:lang w:val="fr-FR"/>
        </w:rPr>
        <w:t>4.4 Module Gestion des stations</w:t>
      </w:r>
      <w:bookmarkEnd w:id="31"/>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 module permet la création, la modification et le suivi de l'état (actif/inactif) des stations de mesure du réseau ORMVAG, chaque station étant caractérisée par son nom, son code, ses coordonnées géographiques et sa province de rattachement.</w:t>
      </w:r>
    </w:p>
    <w:p w:rsidR="000F6F6F" w:rsidRPr="0001043E" w:rsidRDefault="00D4718E" w:rsidP="000F6F6F">
      <w:pPr>
        <w:keepNext/>
        <w:spacing w:after="40"/>
        <w:rPr>
          <w:rFonts w:asciiTheme="majorBidi" w:hAnsiTheme="majorBidi" w:cstheme="majorBidi"/>
        </w:rPr>
      </w:pPr>
      <w:r>
        <w:rPr>
          <w:rFonts w:asciiTheme="majorBidi" w:hAnsiTheme="majorBidi" w:cstheme="majorBidi"/>
          <w:noProof/>
          <w:lang w:val="fr-FR" w:eastAsia="fr-FR"/>
        </w:rPr>
        <w:drawing>
          <wp:inline distT="0" distB="0" distL="0" distR="0" wp14:anchorId="0DB2FD3B" wp14:editId="26A9769C">
            <wp:extent cx="5760720" cy="29838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83865"/>
                    </a:xfrm>
                    <a:prstGeom prst="rect">
                      <a:avLst/>
                    </a:prstGeom>
                  </pic:spPr>
                </pic:pic>
              </a:graphicData>
            </a:graphic>
          </wp:inline>
        </w:drawing>
      </w:r>
    </w:p>
    <w:p w:rsidR="00845158" w:rsidRPr="0001043E" w:rsidRDefault="000F6F6F" w:rsidP="000F6F6F">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5</w:t>
      </w:r>
      <w:r>
        <w:rPr>
          <w:rFonts w:asciiTheme="majorBidi" w:hAnsiTheme="majorBidi" w:cstheme="majorBidi"/>
        </w:rPr>
        <w:fldChar w:fldCharType="end"/>
      </w:r>
      <w:r>
        <w:rPr>
          <w:rFonts w:asciiTheme="majorBidi" w:hAnsiTheme="majorBidi" w:cstheme="majorBidi"/>
          <w:lang w:val="fr-FR"/>
        </w:rPr>
        <w:t>: Page Stations — liste et fiche de gestion d'une station</w:t>
      </w:r>
    </w:p>
    <w:p w:rsidR="00845158" w:rsidRPr="0001043E" w:rsidRDefault="0009058E">
      <w:pPr>
        <w:pStyle w:val="Titre2"/>
        <w:rPr>
          <w:lang w:val="fr-FR"/>
        </w:rPr>
      </w:pPr>
      <w:bookmarkStart w:id="32" w:name="_Toc235311132"/>
      <w:r>
        <w:rPr>
          <w:lang w:val="fr-FR"/>
        </w:rPr>
        <w:t>4.5 Module Indicateurs agroclimatiques</w:t>
      </w:r>
      <w:bookmarkEnd w:id="32"/>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Le calcul des indicateurs journaliers (service calcul_indicateurs.py) est exécuté automatiquement chaque jour pour chaque station : cumuls de pluie sur 7 jours, 30 jours et depuis le début de la campagne agricole, cumul d'évapotranspiration de référence (ETo) sur 7 jours, bilan hydrique (différence entre pluie et ETo cumulées), nombre de jours consécutifs sans pluie, détection de gel (température minimale négative), détection de stress thermique (température maximale supérieure à </w:t>
        <w:lastRenderedPageBreak/>
        <w:t>38°C), et degrés-jours de croissance (GDD, base 10°C) journaliers et cumulés sur la saison. Pour des raisons de performance, seuls les indicateurs des 45 derniers jours sont retraités quotidiennement, les indicateurs plus anciens étant considérés comme stables — un compromis entre fraîcheur des données et temps de calcul au démarrage.</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4 — app/services/calcul_indicateurs.py : cumuls glissants et degrés-jours</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rPr>
            </w:pPr>
            <w:r>
              <w:rPr>
                <w:rFonts w:asciiTheme="majorBidi" w:hAnsiTheme="majorBidi" w:cstheme="majorBidi"/>
                <w:sz w:val="17"/>
              </w:rPr>
              <w:t>df["cumul_pluie_7j"] = df["pluie"].rolling(window=7, min_periods=1).sum()</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df["cumul_pluie_30j"] = df["pluie"].rolling(window=30, min_periods=1).sum()</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df["cumul_eto_7j"] = df["eto"].rolling(window=7, min_periods=1).sum()</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df["bilan_hydrique_7j"] = df["cumul_pluie_7j"] - df["cumul_eto_7j"]</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Gel et stress thermique</w:t>
            </w:r>
          </w:p>
          <w:p w:rsidR="00845158" w:rsidRPr="00A44867" w:rsidRDefault="0009058E">
            <w:pPr>
              <w:spacing w:line="252" w:lineRule="auto"/>
              <w:rPr>
                <w:rFonts w:asciiTheme="majorBidi" w:hAnsiTheme="majorBidi" w:cstheme="majorBidi"/>
              </w:rPr>
            </w:pPr>
            <w:r>
              <w:rPr>
                <w:rFonts w:asciiTheme="majorBidi" w:hAnsiTheme="majorBidi" w:cstheme="majorBidi"/>
                <w:sz w:val="17"/>
              </w:rPr>
              <w:t>df["gel_detecte"] = df["temp_min"] &lt; 0</w:t>
            </w:r>
          </w:p>
          <w:p w:rsidR="00845158" w:rsidRPr="00A44867" w:rsidRDefault="0009058E">
            <w:pPr>
              <w:spacing w:line="252" w:lineRule="auto"/>
              <w:rPr>
                <w:rFonts w:asciiTheme="majorBidi" w:hAnsiTheme="majorBidi" w:cstheme="majorBidi"/>
              </w:rPr>
            </w:pPr>
            <w:r>
              <w:rPr>
                <w:rFonts w:asciiTheme="majorBidi" w:hAnsiTheme="majorBidi" w:cstheme="majorBidi"/>
                <w:sz w:val="17"/>
              </w:rPr>
              <w:t>df["stress_thermique"] = df["temp_max"] &gt; 38</w:t>
            </w:r>
          </w:p>
          <w:p w:rsidR="00845158" w:rsidRPr="00A44867"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Degrés-jours de croissance (GDD), cumulés depuis le début de saison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df["gdd_jour"] = (df["temp_moy"] - TEMP_BASE_GDD).clip(lower=0)</w:t>
            </w:r>
          </w:p>
        </w:tc>
      </w:tr>
    </w:tbl>
    <w:p w:rsidR="00845158" w:rsidRPr="0001043E" w:rsidRDefault="00845158">
      <w:pPr>
        <w:spacing w:after="40"/>
        <w:rPr>
          <w:rFonts w:asciiTheme="majorBidi" w:hAnsiTheme="majorBidi" w:cstheme="majorBidi"/>
        </w:rPr>
      </w:pP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L'usage de rolling() (bibliothèque pandas) permet d'exprimer les cumuls glissants sans boucle explicite ; seule la détection des jours consécutifs sans pluie, de nature séquentielle, nécessite une itération ligne à ligne sur les mesures triées par date.</w:t>
      </w:r>
    </w:p>
    <w:p w:rsidR="00455681" w:rsidRPr="0001043E" w:rsidRDefault="00455681" w:rsidP="00455681">
      <w:pPr>
        <w:keepNext/>
        <w:spacing w:line="312" w:lineRule="auto"/>
        <w:jc w:val="both"/>
        <w:rPr>
          <w:rFonts w:asciiTheme="majorBidi" w:hAnsiTheme="majorBidi" w:cstheme="majorBidi"/>
        </w:rPr>
      </w:pPr>
      <w:r>
        <w:rPr>
          <w:rFonts w:asciiTheme="majorBidi" w:hAnsiTheme="majorBidi" w:cstheme="majorBidi"/>
          <w:noProof/>
          <w:lang w:val="fr-FR" w:eastAsia="fr-FR"/>
        </w:rPr>
        <w:drawing>
          <wp:inline distT="0" distB="0" distL="0" distR="0" wp14:anchorId="05A35A78" wp14:editId="66D26198">
            <wp:extent cx="5760720" cy="3122295"/>
            <wp:effectExtent l="0" t="0" r="0" b="190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122295"/>
                    </a:xfrm>
                    <a:prstGeom prst="rect">
                      <a:avLst/>
                    </a:prstGeom>
                  </pic:spPr>
                </pic:pic>
              </a:graphicData>
            </a:graphic>
          </wp:inline>
        </w:drawing>
      </w:r>
    </w:p>
    <w:p w:rsidR="00845158" w:rsidRPr="0001043E" w:rsidRDefault="00455681" w:rsidP="00455681">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6</w:t>
      </w:r>
      <w:r>
        <w:rPr>
          <w:rFonts w:asciiTheme="majorBidi" w:hAnsiTheme="majorBidi" w:cstheme="majorBidi"/>
        </w:rPr>
        <w:fldChar w:fldCharType="end"/>
      </w:r>
      <w:r>
        <w:rPr>
          <w:rFonts w:asciiTheme="majorBidi" w:hAnsiTheme="majorBidi" w:cstheme="majorBidi"/>
          <w:lang w:val="fr-FR"/>
        </w:rPr>
        <w:t>: Page Indicateurs — tableau des indicateurs journaliers par station</w:t>
      </w:r>
    </w:p>
    <w:p w:rsidR="00455681" w:rsidRPr="0001043E" w:rsidRDefault="00455681" w:rsidP="00455681">
      <w:pPr>
        <w:rPr>
          <w:rFonts w:asciiTheme="majorBidi" w:hAnsiTheme="majorBidi" w:cstheme="majorBidi"/>
          <w:lang w:val="fr-FR"/>
        </w:rPr>
      </w:pPr>
    </w:p>
    <w:p w:rsidR="00845158" w:rsidRPr="0001043E" w:rsidRDefault="0009058E">
      <w:pPr>
        <w:pStyle w:val="Titre2"/>
        <w:rPr>
          <w:lang w:val="fr-FR"/>
        </w:rPr>
      </w:pPr>
      <w:bookmarkStart w:id="33" w:name="_Toc235311133"/>
      <w:r>
        <w:rPr>
          <w:lang w:val="fr-FR"/>
        </w:rPr>
        <w:t>4.6 Module Graphiques</w:t>
      </w:r>
      <w:bookmarkEnd w:id="33"/>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page Graphiques permet de visualiser l'évolution de chaque variable météorologique (température, humidité, pluie, vent) sur des périodes configurables, à l'aide de la bibliothèque Matplotlib, offrant un outil d'analyse visuelle complémentaire au tableau de bord.</w:t>
      </w:r>
    </w:p>
    <w:p w:rsidR="00193F42" w:rsidRPr="0001043E" w:rsidRDefault="00193F42">
      <w:pPr>
        <w:spacing w:line="312" w:lineRule="auto"/>
        <w:jc w:val="both"/>
        <w:rPr>
          <w:rFonts w:asciiTheme="majorBidi" w:hAnsiTheme="majorBidi" w:cstheme="majorBidi"/>
          <w:lang w:val="fr-FR"/>
        </w:rPr>
      </w:pPr>
    </w:p>
    <w:p w:rsidR="00193F42" w:rsidRPr="0001043E" w:rsidRDefault="00193F42" w:rsidP="00193F42">
      <w:pPr>
        <w:keepNext/>
        <w:spacing w:line="312" w:lineRule="auto"/>
        <w:jc w:val="both"/>
        <w:rPr>
          <w:rFonts w:asciiTheme="majorBidi" w:hAnsiTheme="majorBidi" w:cstheme="majorBidi"/>
          <w:lang w:val="fr-FR"/>
        </w:rPr>
      </w:pPr>
    </w:p>
    <w:p w:rsidR="00193F42" w:rsidRPr="0001043E" w:rsidRDefault="00193F42" w:rsidP="00193F42">
      <w:pPr>
        <w:keepNext/>
        <w:rPr>
          <w:rFonts w:asciiTheme="majorBidi" w:hAnsiTheme="majorBidi" w:cstheme="majorBidi"/>
        </w:rPr>
      </w:pPr>
      <w:r>
        <w:rPr>
          <w:rFonts w:asciiTheme="majorBidi" w:hAnsiTheme="majorBidi" w:cstheme="majorBidi"/>
          <w:noProof/>
          <w:lang w:val="fr-FR" w:eastAsia="fr-FR"/>
        </w:rPr>
        <w:drawing>
          <wp:inline distT="0" distB="0" distL="0" distR="0" wp14:anchorId="7BB14DB5" wp14:editId="5BFF0480">
            <wp:extent cx="5760720" cy="30892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89275"/>
                    </a:xfrm>
                    <a:prstGeom prst="rect">
                      <a:avLst/>
                    </a:prstGeom>
                  </pic:spPr>
                </pic:pic>
              </a:graphicData>
            </a:graphic>
          </wp:inline>
        </w:drawing>
      </w:r>
    </w:p>
    <w:p w:rsidR="00193F42" w:rsidRPr="0001043E" w:rsidRDefault="00193F42" w:rsidP="00193F42">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7</w:t>
      </w:r>
      <w:r>
        <w:rPr>
          <w:rFonts w:asciiTheme="majorBidi" w:hAnsiTheme="majorBidi" w:cstheme="majorBidi"/>
        </w:rPr>
        <w:fldChar w:fldCharType="end"/>
      </w:r>
      <w:r>
        <w:rPr>
          <w:rFonts w:asciiTheme="majorBidi" w:hAnsiTheme="majorBidi" w:cstheme="majorBidi"/>
          <w:lang w:val="fr-FR"/>
        </w:rPr>
        <w:t>: Page Graphiques — évolution de la température entre le 71-06-2026 et le 18-07-2026</w:t>
      </w:r>
    </w:p>
    <w:p w:rsidR="00845158" w:rsidRPr="0001043E" w:rsidRDefault="00845158">
      <w:pPr>
        <w:spacing w:after="40"/>
        <w:rPr>
          <w:rFonts w:asciiTheme="majorBidi" w:hAnsiTheme="majorBidi" w:cstheme="majorBidi"/>
          <w:lang w:val="fr-FR"/>
        </w:rPr>
      </w:pPr>
    </w:p>
    <w:p w:rsidR="00845158" w:rsidRPr="0001043E" w:rsidRDefault="0009058E">
      <w:pPr>
        <w:pStyle w:val="Titre2"/>
        <w:rPr>
          <w:lang w:val="fr-FR"/>
        </w:rPr>
      </w:pPr>
      <w:bookmarkStart w:id="34" w:name="_Toc235311134"/>
      <w:r>
        <w:rPr>
          <w:lang w:val="fr-FR"/>
        </w:rPr>
        <w:t>4.7 Module Rapports</w:t>
      </w:r>
      <w:bookmarkEnd w:id="34"/>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module de génération de rapports (service generateur_rapport.py) constitue l'un des livrables centraux du stage. Il permet la production de rapports au format Excel, PDF ou CSV, groupés par province, avec envoi manuel par e-mail depuis l'interface. Son usage principal est la génération automatique quotidienne, dans le cadre de la tâche planifiée à 6h00, du bulletin officiel « Relevé des précipitations pour la campagne agricole », dont la mise en page reproduit fidèlement le format utilisé par le Service des Études et Données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tableau par station, regroupé par province (Kénitra, Sidi Kacem, Sidi Slimane), avec une ligne de moyenne par province et une ligne totale pour l'ensemble du réseau ORMVAG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pour chaque station : la pluie des 24 dernières heures (cycle 6h-6h, convention de l'Organisation Météorologique Mondiale), la pluie cumulée sur les 15 derniers jours glissants, la pluie cumulée depuis le début de la campagne agricole en cours (1er septembre) et celle de la campagne précédente à la même date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deux tableaux mensuels (pluie mensuelle et pluie cumulative, de septembre au mois en cours) comparant l'année en cours, l'année précédente et la normale sur 30 ans, cette dernière étant reprise du bulletin officiel du SED faute d'historique suffisant en base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graphique Excel natif (barres groupées par mois, branché directement sur les cellules du tableau de pluie mensuelle) comparant l'année en cours, l'année précédente et la normale, avec des badges rappelant les cumuls totaux de campagne.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 bulletin est initialement produit au format PDF ; au cours du stage, ce format a été remplacé par un export Excel intégrant des graphiques natifs, jugé plus adapté aux besoins d'exploitation ultérieure des données par les destinataires.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lastRenderedPageBreak/>
        <w:t>L'envoi du bulletin par e-mail (service email_service.py) s'est révélé sensible à des coupures DNS ponctuelles observées en usage réel (erreur [Errno 11001] getaddrinfo failed sous Windows, lorsque la résolution du serveur SMTP échoue temporairement). Une logique de nouvelle tentative a donc été ajoutée : jusqu'à trois envois sont tentés, espacés de cinq secondes, avant de considérer l'envoi comme définitivement échoué — ce qui absorbe la grande majorité des incidents réseau transitoires sans intervention manuelle.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détection de la « période pluvieuse en cours », faute de définition officielle communiquée par le SED, reposait initialement sur une heuristique remontant jour par jour jusqu'à rencontrer un nombre de jours secs consécutifs jugé suffisant pour marquer la fin de l'épisode précédent. Cette heuristique a finalement été retirée du bulletin en cours de stage et remplacée par une fenêtre fixe de 15 jours glissants, sans ambiguïté d'interprétation et jugée suffisante pour l'usage opérationnel du SED.</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Cette révision a été l'occasion de mettre en évidence un problème de qualité des données plus profond : le site source (avertissement.yobeen.com) exporte, pour chaque journée, un champ type_donnee valant « Mesuré » ou « Prévision » selon que la valeur ait été confirmée par le capteur ou seulement estimée. Ce champ n'était exploité que pour l'entraînement des modèles d'apprentissage automatique (§3.5) ; ni les indicateurs agroclimatiques ni le bulletin de précipitations ne le prenaient en compte, si bien qu'une prévision non confirmée pouvait ponctuellement être comptée comme une mesure réelle dans un cumul de pluie officiel. Un filtre type_donnee == "Mesuré" a donc été ajouté à l'ensemble des calculs d'indicateurs et de rapports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5 — app/services/generateur_rapport.py : cumul de pluie restreint aux mesures confirmées</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def _cumul_station_periode(session, station_id, jour_debut, jour_fin):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total = session.query(func.sum(Mesure.pluie)).filter(</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Mesure.station_id == station_id,</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Mesure.date_heure &gt;= datetime.combine(jour_debut, time.min),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Mesure.date_heure &lt;= datetime.combine(jour_fin, time.min),</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Mesure.type_donnee == "Mesuré",</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).scalar()</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float(total) if total is not None else 0.0</w:t>
            </w:r>
          </w:p>
        </w:tc>
      </w:tr>
    </w:tbl>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L'investigation a par ailleurs révélé que l'import quotidien automatique ne retéléchargeait que les tout derniers jours (2 à 3 jours), une fenêtre trop courte pour laisser aux journées encore en « Prévision » une réelle chance d'être remplacées par la mesure confirmée ; elle a été élargie à 15 jours minimum. Un test mené directement contre le site source a par ailleurs montré qu'une partie de ces journées (par exemple les 15 et 16 janvier 2020 pour la station de Lamnassra) ne sont en réalité jamais confirmées par le SED, même plusieurs années plus tard : une réimportation ciblée de l'historique n'aurait donc rien apporté. Un recalcul complet et ponctuel de l'historique des indicateurs a alors été exécuté pour purger la contamination déjà présente (36 141 indicateurs journaliers recalculés sur les 14 stations), révélant au passage un second défaut : les entrées d'indicateur devenues orphelines (jour qui n'a jamais eu qu'une mesure encore en « Prévision ») n'étaient pas supprimées par le recalcul incrémental habituel et conservaient indéfiniment leur ancienne valeur ; le recalcul ponctuel a été corrigé pour les supprimer explicitement.</w:t>
      </w:r>
    </w:p>
    <w:p w:rsidR="00845158" w:rsidRPr="0001043E" w:rsidRDefault="00845158">
      <w:pPr>
        <w:spacing w:after="40"/>
        <w:rPr>
          <w:rFonts w:asciiTheme="majorBidi" w:hAnsiTheme="majorBidi" w:cstheme="majorBidi"/>
        </w:rPr>
      </w:pPr>
    </w:p>
    <w:p w:rsidR="00393CA0" w:rsidRPr="0001043E" w:rsidRDefault="005B3545" w:rsidP="00393CA0">
      <w:pPr>
        <w:keepNext/>
        <w:spacing w:after="40"/>
        <w:rPr>
          <w:rFonts w:asciiTheme="majorBidi" w:hAnsiTheme="majorBidi" w:cstheme="majorBidi"/>
        </w:rPr>
      </w:pPr>
      <w:r>
        <w:rPr>
          <w:rFonts w:asciiTheme="majorBidi" w:hAnsiTheme="majorBidi" w:cstheme="majorBidi"/>
          <w:noProof/>
          <w:lang w:val="fr-FR" w:eastAsia="fr-FR"/>
        </w:rPr>
        <w:drawing>
          <wp:inline distT="0" distB="0" distL="0" distR="0" wp14:anchorId="2AFA4368" wp14:editId="5DF8A86C">
            <wp:extent cx="5760720" cy="307086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70860"/>
                    </a:xfrm>
                    <a:prstGeom prst="rect">
                      <a:avLst/>
                    </a:prstGeom>
                  </pic:spPr>
                </pic:pic>
              </a:graphicData>
            </a:graphic>
          </wp:inline>
        </w:drawing>
      </w:r>
    </w:p>
    <w:p w:rsidR="005B3545" w:rsidRPr="0001043E" w:rsidRDefault="00393CA0" w:rsidP="00393CA0">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8</w:t>
      </w:r>
      <w:r>
        <w:rPr>
          <w:rFonts w:asciiTheme="majorBidi" w:hAnsiTheme="majorBidi" w:cstheme="majorBidi"/>
        </w:rPr>
        <w:fldChar w:fldCharType="end"/>
      </w:r>
      <w:r>
        <w:rPr>
          <w:rFonts w:asciiTheme="majorBidi" w:hAnsiTheme="majorBidi" w:cstheme="majorBidi"/>
          <w:lang w:val="fr-FR"/>
        </w:rPr>
        <w:t>: Page Rapports — génération manuelle d’une synthèse</w:t>
      </w:r>
    </w:p>
    <w:p w:rsidR="005B3545" w:rsidRPr="0001043E" w:rsidRDefault="005B3545">
      <w:pPr>
        <w:spacing w:after="40"/>
        <w:rPr>
          <w:rFonts w:asciiTheme="majorBidi" w:hAnsiTheme="majorBidi" w:cstheme="majorBidi"/>
          <w:lang w:val="fr-FR"/>
        </w:rPr>
      </w:pPr>
    </w:p>
    <w:p w:rsidR="00393CA0" w:rsidRPr="0001043E" w:rsidRDefault="005B3545" w:rsidP="00393CA0">
      <w:pPr>
        <w:keepNext/>
        <w:spacing w:after="40"/>
        <w:jc w:val="center"/>
        <w:rPr>
          <w:rFonts w:asciiTheme="majorBidi" w:hAnsiTheme="majorBidi" w:cstheme="majorBidi"/>
        </w:rPr>
      </w:pPr>
      <w:r>
        <w:rPr>
          <w:rFonts w:asciiTheme="majorBidi" w:hAnsiTheme="majorBidi" w:cstheme="majorBidi"/>
          <w:noProof/>
          <w:lang w:val="fr-FR" w:eastAsia="fr-FR"/>
        </w:rPr>
        <w:lastRenderedPageBreak/>
        <w:drawing>
          <wp:inline distT="0" distB="0" distL="0" distR="0">
            <wp:extent cx="5760720" cy="40741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pport_ormvag_synthese_20260618_20260718_page-0001.jpg"/>
                    <pic:cNvPicPr/>
                  </pic:nvPicPr>
                  <pic:blipFill>
                    <a:blip r:embed="rId18">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393CA0" w:rsidRPr="0001043E" w:rsidRDefault="00393CA0" w:rsidP="00393CA0">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9</w:t>
      </w:r>
      <w:r>
        <w:rPr>
          <w:rFonts w:asciiTheme="majorBidi" w:hAnsiTheme="majorBidi" w:cstheme="majorBidi"/>
        </w:rPr>
        <w:fldChar w:fldCharType="end"/>
      </w:r>
      <w:r>
        <w:rPr>
          <w:rFonts w:asciiTheme="majorBidi" w:hAnsiTheme="majorBidi" w:cstheme="majorBidi"/>
          <w:lang w:val="fr-FR"/>
        </w:rPr>
        <w:t>: Page ½ du rapport de synthèse agroclimatique</w:t>
      </w:r>
    </w:p>
    <w:p w:rsidR="00393CA0" w:rsidRPr="0001043E" w:rsidRDefault="005B3545" w:rsidP="00393CA0">
      <w:pPr>
        <w:keepNext/>
        <w:spacing w:after="40"/>
        <w:jc w:val="center"/>
        <w:rPr>
          <w:rFonts w:asciiTheme="majorBidi" w:hAnsiTheme="majorBidi" w:cstheme="majorBidi"/>
        </w:rPr>
      </w:pPr>
      <w:r>
        <w:rPr>
          <w:rFonts w:asciiTheme="majorBidi" w:hAnsiTheme="majorBidi" w:cstheme="majorBidi"/>
          <w:noProof/>
          <w:lang w:val="fr-FR" w:eastAsia="fr-FR"/>
        </w:rPr>
        <w:drawing>
          <wp:inline distT="0" distB="0" distL="0" distR="0" wp14:anchorId="7C509C04" wp14:editId="3B7E407C">
            <wp:extent cx="5760720" cy="40741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apport_ormvag_synthese_20260618_20260718_page-0002.jpg"/>
                    <pic:cNvPicPr/>
                  </pic:nvPicPr>
                  <pic:blipFill>
                    <a:blip r:embed="rId19">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5B3545" w:rsidRPr="0001043E" w:rsidRDefault="00393CA0" w:rsidP="00393CA0">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10</w:t>
      </w:r>
      <w:r>
        <w:rPr>
          <w:rFonts w:asciiTheme="majorBidi" w:hAnsiTheme="majorBidi" w:cstheme="majorBidi"/>
        </w:rPr>
        <w:fldChar w:fldCharType="end"/>
      </w:r>
      <w:r>
        <w:rPr>
          <w:rFonts w:asciiTheme="majorBidi" w:hAnsiTheme="majorBidi" w:cstheme="majorBidi"/>
          <w:lang w:val="fr-FR"/>
        </w:rPr>
        <w:t>: Page 2/2 du rapport de synthèse agroclimatique</w:t>
      </w:r>
    </w:p>
    <w:p w:rsidR="00845158" w:rsidRPr="0001043E" w:rsidRDefault="00845158">
      <w:pPr>
        <w:spacing w:after="40"/>
        <w:rPr>
          <w:rFonts w:asciiTheme="majorBidi" w:hAnsiTheme="majorBidi" w:cstheme="majorBidi"/>
          <w:lang w:val="fr-FR"/>
        </w:rPr>
      </w:pPr>
    </w:p>
    <w:p w:rsidR="00845158" w:rsidRPr="0001043E" w:rsidRDefault="0009058E">
      <w:pPr>
        <w:pStyle w:val="Titre2"/>
        <w:rPr>
          <w:lang w:val="fr-FR"/>
        </w:rPr>
      </w:pPr>
      <w:bookmarkStart w:id="36" w:name="_Toc235311136"/>
      <w:r>
        <w:rPr>
          <w:lang w:val="fr-FR"/>
        </w:rPr>
        <w:t>4.8 Module Indicateurs — détection d'anomalies (IA)</w:t>
      </w:r>
      <w:bookmarkEnd w:id="36"/>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En complément des règles de plausibilité physique déjà appliquées à l'import, un modèle Isolation Forest signale, sur la page Indicateurs, les journées dont la combinaison de variables mesurées s'écarte statistiquement du comportement habituel de la station, offrant une aide supplémentaire à la détection de pannes de capteurs ou d'événements climatiques inhabituels. Les mesures sont scorées par </w:t>
        <w:lastRenderedPageBreak/>
        <w:t>detecter_anomalies_mesures(), qui retourne les mesures classées anormales (predict() == -1) triées de la plus suspecte à la moins suspecte selon le score de décision du modèle.</w:t>
      </w:r>
    </w:p>
    <w:p w:rsidR="00393CA0" w:rsidRPr="0001043E" w:rsidRDefault="00393CA0" w:rsidP="00393CA0">
      <w:pPr>
        <w:keepNext/>
        <w:spacing w:line="312" w:lineRule="auto"/>
        <w:jc w:val="both"/>
        <w:rPr>
          <w:rFonts w:asciiTheme="majorBidi" w:hAnsiTheme="majorBidi" w:cstheme="majorBidi"/>
        </w:rPr>
      </w:pPr>
      <w:r>
        <w:rPr>
          <w:rFonts w:asciiTheme="majorBidi" w:hAnsiTheme="majorBidi" w:cstheme="majorBidi"/>
          <w:noProof/>
          <w:lang w:val="fr-FR" w:eastAsia="fr-FR"/>
        </w:rPr>
        <w:drawing>
          <wp:inline distT="0" distB="0" distL="0" distR="0" wp14:anchorId="3D1893D1" wp14:editId="72EB8739">
            <wp:extent cx="5760720" cy="3089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089275"/>
                    </a:xfrm>
                    <a:prstGeom prst="rect">
                      <a:avLst/>
                    </a:prstGeom>
                  </pic:spPr>
                </pic:pic>
              </a:graphicData>
            </a:graphic>
          </wp:inline>
        </w:drawing>
      </w:r>
    </w:p>
    <w:p w:rsidR="00845158" w:rsidRPr="0001043E" w:rsidRDefault="00393CA0" w:rsidP="00393CA0">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12</w:t>
      </w:r>
      <w:r>
        <w:rPr>
          <w:rFonts w:asciiTheme="majorBidi" w:hAnsiTheme="majorBidi" w:cstheme="majorBidi"/>
        </w:rPr>
        <w:fldChar w:fldCharType="end"/>
      </w:r>
      <w:r>
        <w:rPr>
          <w:rFonts w:asciiTheme="majorBidi" w:hAnsiTheme="majorBidi" w:cstheme="majorBidi"/>
          <w:lang w:val="fr-FR"/>
        </w:rPr>
        <w:t>: Page Indicateurs — journées signalées comme anomalies statistiques</w:t>
      </w:r>
    </w:p>
    <w:p w:rsidR="00845158" w:rsidRPr="0001043E" w:rsidRDefault="0009058E">
      <w:pPr>
        <w:pStyle w:val="Titre2"/>
        <w:rPr>
          <w:lang w:val="fr-FR"/>
        </w:rPr>
      </w:pPr>
      <w:bookmarkStart w:id="37" w:name="_Toc235311137"/>
      <w:r>
        <w:rPr>
          <w:lang w:val="fr-FR"/>
        </w:rPr>
        <w:t>4.9 Module Utilisateurs et sécurité</w:t>
      </w:r>
      <w:bookmarkEnd w:id="37"/>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L'accès à l'application est protégé par un système d'authentification, les mots de passe étant hachés avec bcrypt et jamais stockés en clair. Le contrôle d'accès repose sur trois rôles (Administrateur, Technicien, Consultation). Toute création ou modification de compte, changement de rôle, activation/désactivation ou réinitialisation de mot de passe est enregistrée dans la table historique_modifications et consultable depuis la page Utilisateurs, assurant la traçabilité des actions sensibles.</w:t>
      </w:r>
    </w:p>
    <w:p w:rsidR="00393CA0" w:rsidRPr="0001043E" w:rsidRDefault="00393CA0" w:rsidP="00393CA0">
      <w:pPr>
        <w:keepNext/>
        <w:spacing w:line="312" w:lineRule="auto"/>
        <w:jc w:val="center"/>
        <w:rPr>
          <w:rFonts w:asciiTheme="majorBidi" w:hAnsiTheme="majorBidi" w:cstheme="majorBidi"/>
        </w:rPr>
      </w:pPr>
      <w:r>
        <w:rPr>
          <w:rFonts w:asciiTheme="majorBidi" w:hAnsiTheme="majorBidi" w:cstheme="majorBidi"/>
          <w:noProof/>
          <w:lang w:val="fr-FR" w:eastAsia="fr-FR"/>
        </w:rPr>
        <w:drawing>
          <wp:inline distT="0" distB="0" distL="0" distR="0" wp14:anchorId="768F92E0" wp14:editId="7D029428">
            <wp:extent cx="5760720" cy="309816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098165"/>
                    </a:xfrm>
                    <a:prstGeom prst="rect">
                      <a:avLst/>
                    </a:prstGeom>
                  </pic:spPr>
                </pic:pic>
              </a:graphicData>
            </a:graphic>
          </wp:inline>
        </w:drawing>
      </w:r>
    </w:p>
    <w:p w:rsidR="00845158" w:rsidRPr="0001043E" w:rsidRDefault="00393CA0" w:rsidP="00393CA0">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13</w:t>
      </w:r>
      <w:r>
        <w:rPr>
          <w:rFonts w:asciiTheme="majorBidi" w:hAnsiTheme="majorBidi" w:cstheme="majorBidi"/>
        </w:rPr>
        <w:fldChar w:fldCharType="end"/>
      </w:r>
      <w:r>
        <w:rPr>
          <w:rFonts w:asciiTheme="majorBidi" w:hAnsiTheme="majorBidi" w:cstheme="majorBidi"/>
          <w:lang w:val="fr-FR"/>
        </w:rPr>
        <w:t>: Page Utilisateurs — gestion des comptes, rôles et historique des modifications</w:t>
      </w:r>
    </w:p>
    <w:p w:rsidR="00845158" w:rsidRPr="0001043E" w:rsidRDefault="0009058E">
      <w:pPr>
        <w:pStyle w:val="Titre2"/>
        <w:rPr>
          <w:lang w:val="fr-FR"/>
        </w:rPr>
      </w:pPr>
      <w:bookmarkStart w:id="38" w:name="_Toc235311138"/>
      <w:r>
        <w:rPr>
          <w:lang w:val="fr-FR"/>
        </w:rPr>
        <w:lastRenderedPageBreak/>
        <w:t>4.10 Module Sauvegarde</w:t>
      </w:r>
      <w:bookmarkEnd w:id="38"/>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Une sauvegarde complète de la base de données (pg_dump) est générée automatiquement chaque jour à 6h00 dans un dossier dédié, au format horodaté sauvegarde_ormvag_AAAAMMJJ_HHMM.sql. Seules les quatorze sauvegardes les plus récentes sont conservées, les plus anciennes étant supprimées automatiquement. Un bouton dédié dans la page Paramètres permet en complément de déclencher une sauvegarde manuelle à tout moment, vers un emplacement choisi par l'utilisateur. Le chemin de l'exécutable pg_dump est soit lu depuis la variable PG_DUMP_PATH du fichier .env, soit recherché automatiquement dans les emplacements standards d'installation de PostgreSQL sous Windows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6 — app/services/sauvegarde.py : localisation de pg_dump et rétention</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def trouver_pg_dump():</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chemin_env = os.getenv("PG_DUMP_PATH")</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if chemin_env and os.path.exists(chemin_env):</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return chemin_env</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base = r"C:\Program Files\PostgreSQL"</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if os.path.isdir(base):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for version in sorted(os.listdir(base), reverse=True):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rPr>
              <w:t xml:space="preserve">            </w:t>
            </w:r>
            <w:r>
              <w:rPr>
                <w:rFonts w:asciiTheme="majorBidi" w:hAnsiTheme="majorBidi" w:cstheme="majorBidi"/>
                <w:sz w:val="17"/>
                <w:lang w:val="fr-FR"/>
              </w:rPr>
              <w:t>chemin_possible = os.path.join(base, version, "bin", "pg_dump.exe")</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if os.path.exists(chemin_possible):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rPr>
              <w:t xml:space="preserve">                </w:t>
            </w:r>
            <w:r>
              <w:rPr>
                <w:rFonts w:asciiTheme="majorBidi" w:hAnsiTheme="majorBidi" w:cstheme="majorBidi"/>
                <w:sz w:val="17"/>
                <w:lang w:val="fr-FR"/>
              </w:rPr>
              <w:t>return chemin_possible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None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def appliquer_retention(dossier, garder=RETENTION_SAUVEGARDES, log=print):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fichiers = sorted(glob.glob(os.path.join(dossier, "sauvegarde_ormvag_*.sql")))</w:t>
            </w:r>
          </w:p>
          <w:p w:rsidR="00845158" w:rsidRPr="0001043E" w:rsidRDefault="0009058E">
            <w:pPr>
              <w:spacing w:line="252" w:lineRule="auto"/>
              <w:rPr>
                <w:rFonts w:asciiTheme="majorBidi" w:hAnsiTheme="majorBidi" w:cstheme="majorBidi"/>
              </w:rPr>
            </w:pPr>
            <w:r>
              <w:rPr>
                <w:rFonts w:asciiTheme="majorBidi" w:hAnsiTheme="majorBidi" w:cstheme="majorBidi"/>
                <w:sz w:val="17"/>
                <w:lang w:val="fr-FR"/>
              </w:rPr>
              <w:t xml:space="preserve">    </w:t>
            </w:r>
            <w:r>
              <w:rPr>
                <w:rFonts w:asciiTheme="majorBidi" w:hAnsiTheme="majorBidi" w:cstheme="majorBidi"/>
                <w:sz w:val="17"/>
              </w:rPr>
              <w:t>for chemin in fichiers[:-garder]:</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os.remove(chemin)</w:t>
            </w:r>
          </w:p>
        </w:tc>
      </w:tr>
    </w:tbl>
    <w:p w:rsidR="00845158" w:rsidRPr="0001043E" w:rsidRDefault="00845158">
      <w:pPr>
        <w:spacing w:after="40"/>
        <w:rPr>
          <w:rFonts w:asciiTheme="majorBidi" w:hAnsiTheme="majorBidi" w:cstheme="majorBidi"/>
        </w:rPr>
      </w:pPr>
    </w:p>
    <w:p w:rsidR="00912789" w:rsidRPr="0001043E" w:rsidRDefault="00912789">
      <w:pPr>
        <w:spacing w:after="40"/>
        <w:rPr>
          <w:rFonts w:asciiTheme="majorBidi" w:hAnsiTheme="majorBidi" w:cstheme="majorBidi"/>
        </w:rPr>
      </w:pPr>
    </w:p>
    <w:p w:rsidR="00912789" w:rsidRPr="0001043E" w:rsidRDefault="00393CA0" w:rsidP="00912789">
      <w:pPr>
        <w:keepNext/>
        <w:spacing w:after="40"/>
        <w:jc w:val="both"/>
        <w:rPr>
          <w:rFonts w:asciiTheme="majorBidi" w:hAnsiTheme="majorBidi" w:cstheme="majorBidi"/>
        </w:rPr>
      </w:pPr>
      <w:r>
        <w:rPr>
          <w:rFonts w:asciiTheme="majorBidi" w:hAnsiTheme="majorBidi" w:cstheme="majorBidi"/>
          <w:noProof/>
          <w:lang w:val="fr-FR" w:eastAsia="fr-FR"/>
        </w:rPr>
        <w:drawing>
          <wp:inline distT="0" distB="0" distL="0" distR="0" wp14:anchorId="16FC141D" wp14:editId="5F9C698F">
            <wp:extent cx="5760720" cy="3082925"/>
            <wp:effectExtent l="0" t="0" r="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82925"/>
                    </a:xfrm>
                    <a:prstGeom prst="rect">
                      <a:avLst/>
                    </a:prstGeom>
                  </pic:spPr>
                </pic:pic>
              </a:graphicData>
            </a:graphic>
          </wp:inline>
        </w:drawing>
      </w:r>
    </w:p>
    <w:p w:rsidR="00393CA0" w:rsidRPr="0001043E" w:rsidRDefault="00912789" w:rsidP="00912789">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14</w:t>
      </w:r>
      <w:r>
        <w:rPr>
          <w:rFonts w:asciiTheme="majorBidi" w:hAnsiTheme="majorBidi" w:cstheme="majorBidi"/>
        </w:rPr>
        <w:fldChar w:fldCharType="end"/>
      </w:r>
      <w:r>
        <w:rPr>
          <w:rFonts w:asciiTheme="majorBidi" w:hAnsiTheme="majorBidi" w:cstheme="majorBidi"/>
          <w:lang w:val="fr-FR"/>
        </w:rPr>
        <w:t>: Page Paramètres — déclenchement d'une sauvegarde manuelle</w:t>
      </w:r>
    </w:p>
    <w:p w:rsidR="00845158" w:rsidRPr="0001043E" w:rsidRDefault="00912789" w:rsidP="00912789">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2"/>
        <w:rPr>
          <w:lang w:val="fr-FR"/>
        </w:rPr>
      </w:pPr>
      <w:bookmarkStart w:id="40" w:name="_Toc900000013"/>
      <w:bookmarkStart w:id="41" w:name="_Toc235311140"/>
      <w:r>
        <w:rPr>
          <w:lang w:val="fr-FR"/>
        </w:rPr>
        <w:t>4.11 Packaging et distribution (exécutable Windows)</w:t>
      </w:r>
      <w:bookmarkEnd w:id="40"/>
      <w:bookmarkEnd w:id="41"/>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Afin de permettre un déploiement sur les postes du SED sans installation préalable de Python ni de ses dépendances, l'application est packagée en exécutable Windows autonome à l'aide de PyInstaller, à partir d'un fichier de configuration dédié (ORMVAG-Meteo.spec) définissant un exécutable unique (« one-file »), sans console, avec icône personnalisée.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Plusieurs difficultés concrètes ont dû être résolues pour obtenir un exécutable fonctionnel et fiable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une DLL requise par une dépendance indirecte (pyexpat, utilisée par matplotlib.font_manager) n'était pas détectée automatiquement par PyInstaller et provoquait un plantage immédiat au démarrage (ImportError: DLL load failed while importing pyexpat) ; elle a été ajoutée explicitement à la liste des bibliothèques embarquées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la résolution des chemins vers les artefacts du module Machine Learning (app/services/detection_anomalies_ml.py), fondée sur __file__, pointait vers un dossier d'extraction temporaire une fois l'application figée par PyInstaller plutôt que vers l'emplacement réel des fichiers ; elle a été rendue sensible au contexte d'exécution (sys.frozen), en se repositionnant par rapport à l'exécutable lui-même lorsque l'application est packagée.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module Qt lié au clavier virtuel (Qt6VirtualKeyboard.dll), embarqué automatiquement comme dépendance indirecte de QtQuick/QtWebEngine bien qu'inutilisé par une application de bureau classique, échouait à se décompresser au démarrage de l'exécutable ("decompression resulted in return code -1") ; l'exclusion "excludes" d'Analysis() ne filtrant que les imports Python et non les binaires collectés par les hooks, il a fallu retirer ces fichiers directement de la liste des binaires après l'analyse, par motif de nom de fichier.</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la compression UPX des binaires, activée par défaut pour réduire la taille de l'exécutable, s'est révélée corrompre de façon non déterministe des fichiers différents d'une reconstruction à l'autre (le clavier virtuel Qt puis, plus tard, le plugin AVIF de Pillow), chaque fois avec la même erreur de décompression au démarrage ; la récurrence du symptôme sur des fichiers différents a fini par désigner UPX lui-même comme cause plutôt qu'un fichier isolé, et sa compression a été désactivée entièrement — exécutable plus volumineux mais fiable, plutôt que d'exclure au cas par cas chaque nouveau fichier incriminé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le détecteur d'anomalies (Isolation Forest) est chargé dynamiquement depuis un fichier joblib au moment de son utilisation, sans jamais faire "import sklearn" explicitement dans le code ; PyInstaller, qui analyse statiquement les imports pour décider quoi embarquer, ne détectait donc jamais scikit-learn comme dépendance, provoquant un ModuleNotFoundError silencieusement avalé par le mode fenêtré ("windowed", sans console) dès l'ouverture de la page Indicateurs, qui restait alors bloquée indéfiniment sur "Chargement…" sans aucun message d'erreur visible ; corrigé en forçant scikit-learn dans les imports du fichier de configuration PyInstaller. Un gestionnaire d'erreurs global journalisant désormais toute exception non interceptée dans un fichier erreur.log a également été ajouté, pour qu'un futur échec silencieux de ce type reste visible plutôt que de se manifester par un simple blocage sans explication.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lastRenderedPageBreak/>
        <w:t>Le fichier .env (identifiants de connexion, configuration SMTP) ainsi que les dossiers assets/ et ML/ (modèle de détection d'anomalies) restent volontairement externes à l'exécutable plutôt qu'intégrés : le premier pour ne jamais diffuser d'identifiants dans un binaire partagé, les seconds pour rester modifiables (mise à jour du modèle, du logo) sans nécessiter de reconstruire l'exécutable. La distribution se fait donc sous la forme d'un dossier contenant l'exécutable accompagné de ces éléments, à l'image d'une application portable.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mode de packaging a également été reconsidéré : le format « onefile » initial, seul fichier exécutable, doit se décompresser intégralement dans un nouveau dossier temporaire à chaque lancement, ce qui a d'abord été suspecté de causer la lenteur observée à l'ouverture de la page Indicateurs (l'antivirus rescannant des centaines de fichiers de bibliothèques scientifiques comme neufs à chaque démarrage). Le passage au format « onedir » (fichiers extraits une fois pour toutes à côté de l'exécutable) n'a cependant pas résolu le problème, ce qui a permis d'écarter cette hypothèse et d'orienter l'investigation vers la véritable cause, décrite ci-dessus (scikit-learn non embarqué) ; le format onedir a néanmoins été conservé, l'application étant de toute façon distribuée sous forme de dossier plutôt que de fichier unique.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Pour faciliter le déploiement sur un poste ne disposant pas encore de PostgreSQL, un installateur autonome (Installateur-ORMVAG.exe, installateur/installer.py) a été développé en complément : il détecte si une instance PostgreSQL est déjà active sur le poste, sinon installe silencieusement PostgreSQL 18 à partir de l'installeur officiel EnterpriseDB embarqué, crée la base de données et son schéma, puis initialise les données de base (rôles, compte administrateur, stations réelles du réseau). Cette logique d'initialisation (app/services/premier_demarrage.py) est partagée avec les scripts de seed utilisés en développement, afin d'éviter toute duplication entre les deux usages.</w:t>
      </w:r>
    </w:p>
    <w:p w:rsidR="00845158" w:rsidRPr="0001043E" w:rsidRDefault="00845158">
      <w:pPr>
        <w:spacing w:after="40"/>
        <w:rPr>
          <w:rFonts w:asciiTheme="majorBidi" w:hAnsiTheme="majorBidi" w:cstheme="majorBidi"/>
          <w:lang w:val="fr-FR"/>
        </w:rPr>
      </w:pP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42" w:name="_Toc235311141"/>
      <w:r>
        <w:rPr>
          <w:lang w:val="fr-FR"/>
        </w:rPr>
        <w:lastRenderedPageBreak/>
        <w:t>Chapitre 5 — Tests et validation</w:t>
      </w:r>
      <w:bookmarkEnd w:id="42"/>
    </w:p>
    <w:p w:rsidR="00845158" w:rsidRPr="0001043E" w:rsidRDefault="0009058E">
      <w:pPr>
        <w:pStyle w:val="Titre2"/>
        <w:rPr>
          <w:lang w:val="fr-FR"/>
        </w:rPr>
      </w:pPr>
      <w:bookmarkStart w:id="43" w:name="_Toc235311142"/>
      <w:r>
        <w:rPr>
          <w:lang w:val="fr-FR"/>
        </w:rPr>
        <w:t>5.1 Démarche de test</w:t>
      </w:r>
      <w:bookmarkEnd w:id="43"/>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validation de l'application a été conduite de façon continue au fil du développement, combinant des vérifications fonctionnelles manuelles sur chaque module et des contrôles de cohérence sur les données produites, en s'appuyant sur la comparaison avec les bulletins historiquement produits manuellement par le Service des Études et Données.</w:t>
      </w:r>
    </w:p>
    <w:p w:rsidR="00845158" w:rsidRPr="0001043E" w:rsidRDefault="0009058E">
      <w:pPr>
        <w:pStyle w:val="Titre2"/>
      </w:pPr>
      <w:bookmarkStart w:id="44" w:name="_Toc235311143"/>
      <w:r>
        <w:t>5.2 Tests fonctionnels</w:t>
      </w:r>
      <w:bookmarkEnd w:id="44"/>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Vérification de l'import de mesures (fichiers Excel/CSV) avec des jeux de données réels et des cas limites (valeurs manquantes, doublons, pannes de capteur simulées par des valeurs nulles).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Contrôle du calcul des indicateurs agroclimatiques par comparaison avec des calculs de référence effectués manuellement sur un échantillon de stations et de périodes.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Vérification du format et du contenu du bulletin de relevé des précipitations généré automatiquement, par comparaison ligne à ligne avec le format officiel du SED.</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Test du mécanisme de rattrapage de la tâche quotidienne en simulant une fermeture prolongée de l'application sur plusieurs jours.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Vérification du contrôle d'accès pour chacun des trois rôles (Administrateur, Technicien, Consultation).</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Test du comportement de l'application en l'absence de configuration SMTP ou de pg_dump, afin de valider la résilience des autres étapes de la tâche quotidienne.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Détection et correction d'un bug d'actualisation : après un import manuel de mesures, les autres pages (tableau de bord, indicateurs) ne se rafraîchissaient pas automatiquement, une liste blanche de pages « actualisables » dans main_window.py excluant par erreur la plupart d'entre elles ; corrigé en enregistrant systématiquement toute page construite pour l'actualisation.</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Ajout de tentatives automatiques (3 essais espacés de 5 secondes) sur l'envoi du rapport par e-mail, après observation d'échecs ponctuels liés à des coupures DNS locales.</w:t>
      </w:r>
    </w:p>
    <w:p w:rsidR="00845158" w:rsidRPr="0001043E" w:rsidRDefault="0009058E">
      <w:pPr>
        <w:pStyle w:val="Titre2"/>
        <w:rPr>
          <w:lang w:val="fr-FR"/>
        </w:rPr>
      </w:pPr>
      <w:bookmarkStart w:id="45" w:name="_Toc235311144"/>
      <w:r>
        <w:rPr>
          <w:lang w:val="fr-FR"/>
        </w:rPr>
        <w:t>5.3 Validation des modèles d'apprentissage automatique</w:t>
      </w:r>
      <w:bookmarkEnd w:id="45"/>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Les modèles de prévision et de détection d'anomalies ont été évalués sur un jeu de test chronologiquement disjoint du jeu d'entraînement, afin d'éviter toute fuite d'information temporelle. Les métriques obtenues (MAE, précision, rappel) sont détaillées à la section 4.12 et ont guidé l'arbitrage entre l'architecture LSTM simple retenue et l'architecture « hurdle » testée en alternative.</w:t>
      </w:r>
    </w:p>
    <w:p w:rsidR="00845158" w:rsidRPr="0001043E" w:rsidRDefault="0009058E">
      <w:pPr>
        <w:pStyle w:val="Titre2"/>
      </w:pPr>
      <w:bookmarkStart w:id="46" w:name="_Toc235311145"/>
      <w:r>
        <w:t>5.4 Limites identifiées</w:t>
      </w:r>
      <w:bookmarkEnd w:id="46"/>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La normale pluviométrique sur 30 ans utilisée dans les bulletins est reprise telle quelle du bulletin officiel du SED, faute d'historique suffisant en base (environ 10 ans de profondeur) ; elle devra être mise à jour manuellement si le SED communique une normale révisée.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Le modèle de prévision de pluie, bien que fiable sur la détection d'occurrence, reste imprécis sur l'estimation des quantités lors des épisodes pluvieux marqués.</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Les fonctionnalités de prévision et de détection d'anomalies dépendent de la disponibilité d'un historique de mesures suffisant par station ; elles se désactivent proprement en son absence.</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Une partie des journées importées comme « Prévision » ne sont en réalité jamais confirmées par le site source, y compris plusieurs années après leur import (vérifié directement en interrogeant à nouveau le site sur des dates anciennes) ; ces journées sont désormais exclues des indicateurs et rapports plutôt que traitées comme des mesures réelles, au prix d'une absence de donnée sur ces jours précis plutôt que d'une valeur erronée.</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r>
        <w:rPr>
          <w:lang w:val="fr-FR"/>
        </w:rPr>
        <w:t>Chapitre 6 — Étude exploratoire : prévision météorologique par apprentissage automatique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 chapitre documente une étude menée en parallèle du développement de l'application, explorant la prévision météorologique par apprentissage automatique (réseau LSTM) comme complément potentiel aux indicateurs agroclimatiques. Contrairement au détecteur d'anomalies (Isolation Forest, §3.5.1 et §4.8), pleinement intégré à l'application, ce volet est présenté ici comme une étude à part entière : le code et le modèle entraîné sont fonctionnels et versionnés dans le dépôt, réutilisables pour une analyse ponctuelle, sans faire l'objet d'une intégration à l'interface pour les raisons détaillées au §6.2.</w:t>
      </w:r>
    </w:p>
    <w:p w:rsidR="00845158" w:rsidRPr="0001043E" w:rsidRDefault="0009058E">
      <w:pPr>
        <w:pStyle w:val="Titre2"/>
        <w:rPr>
          <w:rFonts w:asciiTheme="majorBidi" w:hAnsiTheme="majorBidi"/>
          <w:color w:val="auto"/>
          <w:lang w:val="fr-FR"/>
        </w:rPr>
      </w:pPr>
      <w:bookmarkStart w:id="25" w:name="_Toc235311125"/>
      <w:r>
        <w:rPr>
          <w:rFonts w:asciiTheme="majorBidi" w:hAnsiTheme="majorBidi"/>
          <w:color w:val="auto"/>
          <w:lang w:val="fr-FR"/>
        </w:rPr>
        <w:t>6.1 Architecture du réseau LSTM</w:t>
      </w:r>
      <w:bookmarkEnd w:id="25"/>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réseau retenu combine une branche séquentielle (l'historique météo des 30 derniers jours) et une branche catégorielle (l'identité de la station, sous forme d'embedding), afin que le modèle apprenne à la fois la dynamique météorologique régionale commune et les nuances propres à chaque station sans avoir à entraîner un modèle distinct par station :</w:t>
      </w:r>
    </w:p>
    <w:tbl>
      <w:tblPr>
        <w:tblStyle w:val="Grilledutableau"/>
        <w:tblW w:w="0" w:type="auto"/>
        <w:jc w:val="center"/>
        <w:tblLook w:val="04A0" w:firstRow="1" w:lastRow="0" w:firstColumn="1" w:lastColumn="0" w:noHBand="0" w:noVBand="1"/>
      </w:tblPr>
      <w:tblGrid>
        <w:gridCol w:w="1701"/>
        <w:gridCol w:w="2835"/>
        <w:gridCol w:w="3685"/>
      </w:tblGrid>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b/>
                <w:sz w:val="21"/>
              </w:rPr>
              <w:t>Couche</w:t>
            </w:r>
          </w:p>
        </w:tc>
        <w:tc>
          <w:tcPr>
            <w:tcW w:w="2835" w:type="dxa"/>
          </w:tcPr>
          <w:p w:rsidR="00845158" w:rsidRPr="0001043E" w:rsidRDefault="0009058E">
            <w:pPr>
              <w:rPr>
                <w:rFonts w:asciiTheme="majorBidi" w:hAnsiTheme="majorBidi" w:cstheme="majorBidi"/>
              </w:rPr>
            </w:pPr>
            <w:r>
              <w:rPr>
                <w:rFonts w:asciiTheme="majorBidi" w:hAnsiTheme="majorBidi" w:cstheme="majorBidi"/>
                <w:b/>
                <w:sz w:val="21"/>
              </w:rPr>
              <w:t>Configuration</w:t>
            </w:r>
          </w:p>
        </w:tc>
        <w:tc>
          <w:tcPr>
            <w:tcW w:w="3685" w:type="dxa"/>
          </w:tcPr>
          <w:p w:rsidR="00845158" w:rsidRPr="0001043E" w:rsidRDefault="0009058E">
            <w:pPr>
              <w:rPr>
                <w:rFonts w:asciiTheme="majorBidi" w:hAnsiTheme="majorBidi" w:cstheme="majorBidi"/>
              </w:rPr>
            </w:pPr>
            <w:r>
              <w:rPr>
                <w:rFonts w:asciiTheme="majorBidi" w:hAnsiTheme="majorBidi" w:cstheme="majorBidi"/>
                <w:b/>
                <w:sz w:val="21"/>
              </w:rPr>
              <w:t>Rôle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Entrée séquence</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(30 jours, 16 variables)</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Fenêtre glissante des mesures normalisées (ETo, pluie, T° min/moy/max, humidité min/moy/max, rayonnement, vent, direction du vent (sin/cos), jour de l'année (sin/cos), pression, nébulosité)</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Entrée station</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(1,) — identifiant entier</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Index de la station parmi les 14 du réseau</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Embedding station</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Embedding(14, 8)</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Représentation vectorielle apprise de la station (dimension 8)</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LSTM 1</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64 unités, return_sequences=True</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Extraction des dépendances temporelles sur la séquence complète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LSTM 2</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32 unités</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Compression en un vecteur de contexte unique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Concaténation</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vecteur LSTM (32) + embedding (8)</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Fusion de la dynamique temporelle et du profil de la station</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Dense</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32 unités, activation ReLU</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Combinaison non linéaire des features fusionnées</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Dropout</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taux 0,2</w:t>
            </w:r>
          </w:p>
        </w:tc>
        <w:tc>
          <w:tcPr>
            <w:tcW w:w="3685" w:type="dxa"/>
          </w:tcPr>
          <w:p w:rsidR="00845158" w:rsidRPr="0001043E" w:rsidRDefault="0009058E">
            <w:pPr>
              <w:rPr>
                <w:rFonts w:asciiTheme="majorBidi" w:hAnsiTheme="majorBidi" w:cstheme="majorBidi"/>
              </w:rPr>
            </w:pPr>
            <w:r>
              <w:rPr>
                <w:rFonts w:asciiTheme="majorBidi" w:hAnsiTheme="majorBidi" w:cstheme="majorBidi"/>
                <w:sz w:val="20"/>
              </w:rPr>
              <w:t>Régularisation contre le surapprentissage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Sortie</w:t>
            </w:r>
          </w:p>
        </w:tc>
        <w:tc>
          <w:tcPr>
            <w:tcW w:w="2835" w:type="dxa"/>
          </w:tcPr>
          <w:p w:rsidR="00845158" w:rsidRPr="0001043E" w:rsidRDefault="0009058E">
            <w:pPr>
              <w:rPr>
                <w:rFonts w:asciiTheme="majorBidi" w:hAnsiTheme="majorBidi" w:cstheme="majorBidi"/>
              </w:rPr>
            </w:pPr>
            <w:r>
              <w:rPr>
                <w:rFonts w:asciiTheme="majorBidi" w:hAnsiTheme="majorBidi" w:cstheme="majorBidi"/>
                <w:sz w:val="20"/>
              </w:rPr>
              <w:t>Dense(3)</w:t>
            </w:r>
          </w:p>
        </w:tc>
        <w:tc>
          <w:tcPr>
            <w:tcW w:w="3685"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Prédiction (pluie, température, ETo) du jour J+1</w:t>
            </w:r>
          </w:p>
        </w:tc>
      </w:tr>
    </w:tbl>
    <w:p w:rsidR="00845158" w:rsidRPr="0001043E" w:rsidRDefault="0009058E">
      <w:pPr>
        <w:spacing w:before="40" w:after="320"/>
        <w:jc w:val="center"/>
        <w:rPr>
          <w:rFonts w:asciiTheme="majorBidi" w:hAnsiTheme="majorBidi" w:cstheme="majorBidi"/>
          <w:lang w:val="fr-FR"/>
        </w:rPr>
      </w:pPr>
      <w:r>
        <w:rPr>
          <w:rFonts w:asciiTheme="majorBidi" w:hAnsiTheme="majorBidi" w:cstheme="majorBidi"/>
          <w:i/>
          <w:sz w:val="20"/>
          <w:lang w:val="fr-FR"/>
        </w:rPr>
        <w:t>Tableau 4 — Architecture du réseau LSTM multi-stations (app/services/prevision_ml.py, ML/entrainer_lstm.py)</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L'entraînement utilise l'optimiseur Adam, une fonction de perte MSE (erreur quadratique moyenne) et un arrêt anticipé (EarlyStopping, patience de 5 époques sur la perte de validation) afin de restaurer automatiquement les poids du meilleur modèle observé plutôt que ceux de la dernière époque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lastRenderedPageBreak/>
        <w:t>Extrait 7 — ML/entrainer_lstm.py : construction du modèle</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rPr>
            </w:pPr>
            <w:r>
              <w:rPr>
                <w:rFonts w:asciiTheme="majorBidi" w:hAnsiTheme="majorBidi" w:cstheme="majorBidi"/>
                <w:sz w:val="17"/>
              </w:rPr>
              <w:t>def construire_modele(nb_stations, nb_features, taille_fenetre, nb_cibles,</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dim_embedding=8, unites_lstm=64):</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entree_sequence = keras.Input(shape=(taille_fenetre, nb_features), name="sequence")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entree_station = keras.Input(shape=(1,), name="station")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embedding_station = layers.Embedding(nb_stations, dim_embedding)(entree_station)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embedding_station = layers.Flatten()(embedding_station)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x = layers.LSTM(unites_lstm, return_sequences=True)(entree_sequence)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x = layers.LSTM(unites_lstm // 2)(x)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x = layers.Concatenate()([x, embedding_station])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x = layers.Dense(32, activation="relu")(x)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x = layers.Dropout(0.2)(x)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sortie = layers.Dense(nb_cibles, name="cibles")(x)</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modele = keras.Model(inputs=[entree_sequence, entree_station], outputs=sortie)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modele.compile(optimizer="adam", loss="mse", metrics=["mae"])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return modele</w:t>
            </w:r>
          </w:p>
        </w:tc>
      </w:tr>
    </w:tbl>
    <w:p w:rsidR="00845158" w:rsidRPr="0001043E" w:rsidRDefault="00845158">
      <w:pPr>
        <w:spacing w:after="40"/>
        <w:rPr>
          <w:rFonts w:asciiTheme="majorBidi" w:hAnsiTheme="majorBidi" w:cstheme="majorBidi"/>
        </w:rPr>
      </w:pP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préparation des données en amont (ML/preparer_donnees_lstm.py) applique une règle importante pour la validité statistique de l'évaluation : la normalisation (moyenne et écart-type) est calculée uniquement sur le jeu d'entraînement puis appliquée telle quelle aux jeux de validation et de test, et le découpage train/validation/test (80 % / 10 % / 10 %) est effectué chronologiquement plutôt qu'aléatoirement, pour ne jamais entraîner le modèle sur des données postérieures à celles utilisées pour le tester.</w:t>
      </w:r>
    </w:p>
    <w:p w:rsidR="00845158" w:rsidRPr="0001043E" w:rsidRDefault="0009058E">
      <w:pPr>
        <w:pStyle w:val="Titre2"/>
        <w:rPr>
          <w:lang w:val="fr-FR"/>
        </w:rPr>
      </w:pPr>
      <w:r>
        <w:rPr>
          <w:lang w:val="fr-FR"/>
        </w:rPr>
        <w:t>6.2 Fonctionnement et choix de conception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fonction prevoir_station() (app/services/prevision_ml.py) produit, pour une station donnée, une prévision à J+1 de la pluie, de la température et de l'ETo à partir du modèle LSTM dont l'architecture est détaillée au §6.1. Un garde-fou protège contre les prévisions non fiables : en l'absence des artefacts du modèle, d'un historique suffisant, ou si les 30 derniers jours de mesures ne sont pas réellement consécutifs (condition nécessaire, le modèle ayant été entraîné sur des séquences continues), la prévision est simplement omise plutôt que produite sur des bases erronées, sans provoquer d'erreur bloquante pour le reste de l'application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8 — app/services/prevision_ml.py : garde-fou de continuité temporelle</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for i in range(1, len(mesures)):</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ecart = mesures[i].date_heure.date() - mesures[i - 1].date_heure.date()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if ecart != timedelta(days=1):</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return None  # fenêtre trouée : prévision non fiable, on l'omet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X = np.array(valeurs, dtype=float)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X_norm = (X - moyenne) / ecart_type</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X_norm = X_norm.reshape(1, taille_fenetre, len(colonnes_features))</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prediction = modele.predict(</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    {"sequence": X_norm, "station": station_idx}, verbose=0</w:t>
            </w:r>
          </w:p>
          <w:p w:rsidR="00845158" w:rsidRPr="0001043E" w:rsidRDefault="0009058E">
            <w:pPr>
              <w:spacing w:line="252" w:lineRule="auto"/>
              <w:rPr>
                <w:rFonts w:asciiTheme="majorBidi" w:hAnsiTheme="majorBidi" w:cstheme="majorBidi"/>
                <w:lang w:val="fr-FR"/>
              </w:rPr>
            </w:pPr>
            <w:r>
              <w:rPr>
                <w:rFonts w:asciiTheme="majorBidi" w:hAnsiTheme="majorBidi" w:cstheme="majorBidi"/>
                <w:sz w:val="17"/>
                <w:lang w:val="fr-FR"/>
              </w:rPr>
              <w:t xml:space="preserve">)[0]</w:t>
            </w:r>
          </w:p>
        </w:tc>
      </w:tr>
    </w:tbl>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Cette fonctionnalité n'a volontairement pas été exposée dans l'interface de l'application : une prévision affichée en direct nécessiterait un pipeline de réentraînement régulier pour rester représentative dans la durée, et le chargement de TensorFlow au premier accès alourdit sensiblement le démarrage de l'application (environ 15 secondes supplémentaires). Le module reste néanmoins pleinement fonctionnel et versionné dans le dépôt (app/views/previsions_page.py, app/services/prevision_ml.py), directement réutilisable pour une analyse ponctuelle ; les résultats obtenus sont détaillés au §6.3.</w:t>
      </w:r>
    </w:p>
    <w:p w:rsidR="00845158" w:rsidRPr="0001043E" w:rsidRDefault="0009058E">
      <w:pPr>
        <w:rPr>
          <w:rFonts w:asciiTheme="majorBidi" w:hAnsiTheme="majorBidi" w:cstheme="majorBidi"/>
          <w:lang w:val="fr-FR"/>
        </w:rPr>
      </w:pP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Page Prévisions — prévision J+1 (pluie, température, ETo) par station — emplacement réservé, capture d'écran à insérer si disponible.</w:t>
      </w:r>
    </w:p>
    <w:p w:rsidR="00845158" w:rsidRPr="0001043E" w:rsidRDefault="0009058E">
      <w:pPr>
        <w:pStyle w:val="Titre2"/>
        <w:rPr>
          <w:lang w:val="fr-FR"/>
        </w:rPr>
      </w:pPr>
      <w:bookmarkStart w:id="39" w:name="_Toc235311139"/>
      <w:r>
        <w:rPr>
          <w:lang w:val="fr-FR"/>
        </w:rPr>
        <w:lastRenderedPageBreak/>
        <w:t>6.3 Résultats de la prévision de pluie et pistes d'amélioration testées</w:t>
      </w:r>
      <w:bookmarkEnd w:id="39"/>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Le pipeline de données du module ML comprend six étapes principales, exécutées manuellement lors de la (ré)génération des modèles : import de l'historique météorologique pluriannuel, diagnostic de la qualité des données, nettoyage des mesures issues de pannes de capteurs, préparation des fenêtres d'entraînement du LSTM, entraînement du modèle de prévision, puis entraînement du détecteur d'anomalies.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Sur le jeu de test, le modèle LSTM atteint une erreur absolue moyenne (MAE) d'environ 1,55 mm pour la pluie et 1,10°C pour la température. Le modèle détecte correctement l'occurrence de pluie dans environ 90 % des cas (rappel), mais génère un nombre important de fausses alertes (précision d'environ 25 à 35 %) ; il est donc préférable de s'appuyer sur la tendance annoncée plutôt que sur la valeur exacte prévue. Une architecture alternative à deux modèles (« hurdle », séparant la prévision de l'occurrence et celle de la quantité de pluie) a été testée au cours du stage, mais n'a pas surpassé le modèle de référence sur l'ensemble des métriques évaluées ; le modèle simple a par conséquent été conservé en production.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 préparation des fenêtres d'entraînement segmente l'historique de chaque station en tronçons continus, coupant la série aux endroits où un trou dépasse 7 jours et interpolant linéairement les trous plus courts, afin de ne jamais présenter au modèle une séquence de 30 jours artificiellement recomposée à partir de données non contiguës :</w:t>
      </w:r>
    </w:p>
    <w:p w:rsidR="00845158" w:rsidRPr="0001043E" w:rsidRDefault="0009058E">
      <w:pPr>
        <w:spacing w:before="160" w:after="80"/>
        <w:rPr>
          <w:rFonts w:asciiTheme="majorBidi" w:hAnsiTheme="majorBidi" w:cstheme="majorBidi"/>
          <w:lang w:val="fr-FR"/>
        </w:rPr>
      </w:pPr>
      <w:r>
        <w:rPr>
          <w:rFonts w:asciiTheme="majorBidi" w:hAnsiTheme="majorBidi" w:cstheme="majorBidi"/>
          <w:b/>
          <w:sz w:val="20"/>
          <w:lang w:val="fr-FR"/>
        </w:rPr>
        <w:t>Extrait 9 — ML/preparer_donnees_lstm.py : segmentation aux trous et interpolation</w:t>
      </w:r>
    </w:p>
    <w:tbl>
      <w:tblPr>
        <w:tblStyle w:val="Grilledutableau"/>
        <w:tblW w:w="0" w:type="auto"/>
        <w:tblLayout w:type="fixed"/>
        <w:tblLook w:val="04A0" w:firstRow="1" w:lastRow="0" w:firstColumn="1" w:lastColumn="0" w:noHBand="0" w:noVBand="1"/>
      </w:tblPr>
      <w:tblGrid>
        <w:gridCol w:w="8844"/>
      </w:tblGrid>
      <w:tr w:rsidR="00845158" w:rsidRPr="0001043E">
        <w:tc>
          <w:tcPr>
            <w:tcW w:w="8844" w:type="dxa"/>
            <w:shd w:val="clear" w:color="auto" w:fill="1F2A38"/>
          </w:tcPr>
          <w:p w:rsidR="00845158" w:rsidRPr="0001043E" w:rsidRDefault="0009058E">
            <w:pPr>
              <w:spacing w:line="252" w:lineRule="auto"/>
              <w:rPr>
                <w:rFonts w:asciiTheme="majorBidi" w:hAnsiTheme="majorBidi" w:cstheme="majorBidi"/>
              </w:rPr>
            </w:pPr>
            <w:r>
              <w:rPr>
                <w:rFonts w:asciiTheme="majorBidi" w:hAnsiTheme="majorBidi" w:cstheme="majorBidi"/>
                <w:sz w:val="17"/>
              </w:rPr>
              <w:t>while i &lt; n:</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if est_manquant.iloc[i]:</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j = i</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while j &lt; n and est_manquant.iloc[j]:</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j += 1</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if (j - i) &gt; SEUIL_INTERPOLATION:  # trou &gt; 7 jours : on coupe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segments_bruts.append(df_complet.iloc[debut_segment:i])</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debut_segment = j</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 = j</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else:</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 xml:space="preserve">        i += 1</w:t>
            </w:r>
          </w:p>
          <w:p w:rsidR="00845158" w:rsidRPr="0001043E" w:rsidRDefault="0009058E">
            <w:pPr>
              <w:spacing w:line="252" w:lineRule="auto"/>
              <w:rPr>
                <w:rFonts w:asciiTheme="majorBidi" w:hAnsiTheme="majorBidi" w:cstheme="majorBidi"/>
              </w:rPr>
            </w:pPr>
            <w:r>
              <w:rPr>
                <w:rFonts w:asciiTheme="majorBidi" w:hAnsiTheme="majorBidi" w:cstheme="majorBidi"/>
                <w:sz w:val="17"/>
              </w:rPr>
              <w:t>segments_bruts.append(df_complet.iloc[debut_segment:n])</w:t>
            </w:r>
          </w:p>
        </w:tc>
      </w:tr>
    </w:tbl>
    <w:p w:rsidR="00845158" w:rsidRPr="0001043E" w:rsidRDefault="00845158">
      <w:pPr>
        <w:spacing w:after="40"/>
        <w:rPr>
          <w:rFonts w:asciiTheme="majorBidi" w:hAnsiTheme="majorBidi" w:cstheme="majorBidi"/>
        </w:rPr>
      </w:pPr>
    </w:p>
    <w:p w:rsidR="00455681" w:rsidRPr="0001043E" w:rsidRDefault="00455681" w:rsidP="00455681">
      <w:pPr>
        <w:keepNext/>
        <w:spacing w:after="40"/>
        <w:rPr>
          <w:rFonts w:asciiTheme="majorBidi" w:hAnsiTheme="majorBidi" w:cstheme="majorBidi"/>
        </w:rPr>
      </w:pPr>
      <w:r>
        <w:rPr>
          <w:rFonts w:asciiTheme="majorBidi" w:hAnsiTheme="majorBidi" w:cstheme="majorBidi"/>
          <w:noProof/>
          <w:lang w:val="fr-FR" w:eastAsia="fr-FR"/>
        </w:rPr>
        <w:lastRenderedPageBreak/>
        <w:drawing>
          <wp:inline distT="0" distB="0" distL="0" distR="0" wp14:anchorId="43F11DA9" wp14:editId="140BC7EB">
            <wp:extent cx="5760720" cy="362102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13_console_lstm.png"/>
                    <pic:cNvPicPr/>
                  </pic:nvPicPr>
                  <pic:blipFill>
                    <a:blip r:embed="rId23">
                      <a:extLst>
                        <a:ext uri="{28A0092B-C50C-407E-A947-70E740481C1C}">
                          <a14:useLocalDpi xmlns:a14="http://schemas.microsoft.com/office/drawing/2010/main" val="0"/>
                        </a:ext>
                      </a:extLst>
                    </a:blip>
                    <a:stretch>
                      <a:fillRect/>
                    </a:stretch>
                  </pic:blipFill>
                  <pic:spPr>
                    <a:xfrm>
                      <a:off x="0" y="0"/>
                      <a:ext cx="5760720" cy="3621024"/>
                    </a:xfrm>
                    <a:prstGeom prst="rect">
                      <a:avLst/>
                    </a:prstGeom>
                  </pic:spPr>
                </pic:pic>
              </a:graphicData>
            </a:graphic>
          </wp:inline>
        </w:drawing>
      </w:r>
    </w:p>
    <w:p w:rsidR="00455681" w:rsidRPr="0001043E" w:rsidRDefault="00455681" w:rsidP="0001043E">
      <w:pPr>
        <w:pStyle w:val="Lgende"/>
        <w:jc w:val="center"/>
        <w:rPr>
          <w:rFonts w:asciiTheme="majorBidi" w:hAnsiTheme="majorBidi" w:cstheme="majorBidi"/>
          <w:lang w:val="fr-FR"/>
        </w:rPr>
      </w:pPr>
      <w:r>
        <w:rPr>
          <w:rFonts w:asciiTheme="majorBidi" w:hAnsiTheme="majorBidi" w:cstheme="majorBidi"/>
          <w:lang w:val="fr-FR"/>
        </w:rPr>
        <w:t xml:space="preserve">Figure </w:t>
      </w:r>
      <w:r>
        <w:rPr>
          <w:rFonts w:asciiTheme="majorBidi" w:hAnsiTheme="majorBidi" w:cstheme="majorBidi"/>
        </w:rPr>
        <w:fldChar w:fldCharType="begin"/>
      </w:r>
      <w:r>
        <w:rPr>
          <w:rFonts w:asciiTheme="majorBidi" w:hAnsiTheme="majorBidi" w:cstheme="majorBidi"/>
          <w:lang w:val="fr-FR"/>
        </w:rPr>
        <w:instrText xml:space="preserve"> SEQ Figure \* ARABIC </w:instrText>
      </w:r>
      <w:r>
        <w:rPr>
          <w:rFonts w:asciiTheme="majorBidi" w:hAnsiTheme="majorBidi" w:cstheme="majorBidi"/>
        </w:rPr>
        <w:fldChar w:fldCharType="separate"/>
      </w:r>
      <w:r>
        <w:rPr>
          <w:rFonts w:asciiTheme="majorBidi" w:hAnsiTheme="majorBidi" w:cstheme="majorBidi"/>
          <w:noProof/>
          <w:lang w:val="fr-FR"/>
        </w:rPr>
        <w:t>15</w:t>
      </w:r>
      <w:r>
        <w:rPr>
          <w:rFonts w:asciiTheme="majorBidi" w:hAnsiTheme="majorBidi" w:cstheme="majorBidi"/>
        </w:rPr>
        <w:fldChar w:fldCharType="end"/>
      </w:r>
      <w:r>
        <w:rPr>
          <w:rFonts w:asciiTheme="majorBidi" w:hAnsiTheme="majorBidi" w:cstheme="majorBidi"/>
          <w:lang w:val="fr-FR"/>
        </w:rPr>
        <w:t xml:space="preserve">: Extrait de la console de ré-entraînement du pipeline ML (métriques MAE/RMSE)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Face à cette précision limitée de la prévision de pluie, plusieurs features jusque-là inexploitées ont été ajoutées pour tester si le problème venait d'un manque de signal plutôt que du modèle lui-même : la direction du vent (déjà collectée par les stations mais absente des features, encodée en sinus/cosinus car grandeur circulaire), un encodage cyclique de la saisonnalité (jour de l'année), puis la pression atmosphérique et la nébulosité — deux variables absentes du site source ORMVAG, récupérées via l'API gratuite Open-Meteo (réanalyse ERA5) à partir des coordonnées GPS de chaque station (ML/telecharger_meteo_externe.py). Dans les trois cas, la précision de détection de la pluie est restée dans la même fourchette (30-35 %), suggérant une limite structurelle des données disponibles — probablement la résolution spatiale d'ERA5 (~25-30 km, trop grossière pour la dynamique pluvieuse locale) — plutôt qu'un manque de features évidentes.</w:t>
      </w:r>
    </w:p>
    <w:p w:rsidR="00845158" w:rsidRPr="0001043E" w:rsidRDefault="0009058E">
      <w:pPr>
        <w:pStyle w:val="Titre2"/>
        <w:rPr>
          <w:lang w:val="fr-FR"/>
        </w:rPr>
      </w:pPr>
      <w:r>
        <w:rPr>
          <w:lang w:val="fr-FR"/>
        </w:rPr>
        <w:t>6.4 Prévision de l'évapotranspiration (ETo)</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L'ajout de l'ETo comme cible supplémentaire du même modèle multi-sorties (aux côtés de la pluie et de la température, sans changement d'architecture) donne en revanche un résultat nettement meilleur : une corrélation prédiction/réel de 0,91 (contre 0,45 pour la pluie) et une MAE de 0,62 mm/jour, soit seulement 32 % de l'écart-type naturel de la variable. Cet écart illustre un principe agrométéorologique de base : l'ETo dépend de variables lisses et autocorrélées (température, rayonnement, vent), alors que la pluie est un phénomène seuil fortement influencé par une dynamique atmosphérique à grande échelle absente des données disponibles. Contrairement à la prévision de pluie, une prévision d'ETo à ce niveau de précision serait exploitable pour anticiper le bilan hydrique (cumul_pluie - cumul_eto, déjà calculé quotidiennement dans l'application) plutôt que de le constater après coup — une piste concrète d'aide à la décision d'irrigation.</w:t>
      </w:r>
    </w:p>
    <w:p w:rsidR="00845158" w:rsidRPr="0001043E" w:rsidRDefault="0009058E">
      <w:pPr>
        <w:pStyle w:val="Titre2"/>
      </w:pPr>
      <w:r>
        <w:t>6.5 Typologie des stations et des campagnes agricoles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Une analyse complémentaire (ML/typologie_stations_saisons.py) a exploré deux regroupements statistiques sur l'historique disponible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 regroupement des 14 stations par profil climatique moyen (pluie, température, humidité, ETo, vent annuels), par k-moyennes — le nombre de groupes retenu (2) maximise le score de silhouette parmi les valeurs testées (2 à 5). Un premier groupe de 3 stations (Sidi Allal Tazi, Lamnassra, Kénitra Banlieue) au profil plus humide et frais (516 mm/an de pluie, 18,0°C, ETo 1029 mm/an), et un second groupe de 11 stations au profil plus sec et chaud (403 mm/an, 19,0°C, ETo 1392 mm/an) — une distinction cohérente avec un gradient littoral/continental au sein du périmètre du Gharb ;</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une classification des campagnes agricoles 2016-2025 par rapport à la normale pluviométrique SED (486 mm/an) : sur les 10 campagnes disposant d'une couverture de données suffisante, 5 sont classées sèches (moins de 70 % de la normale), 5 normales, aucune classée humide (plus de 130 %). Les campagnes sèches se concentrent davantage sur 2019-2025 — une observation descriptive cohérente avec la problématique de variabilité climatique posée en introduction, mais qui ne constitue pas, avec seulement 10 campagnes disponibles, une preuve statistique de tendance.</w:t>
      </w:r>
    </w:p>
    <w:p w:rsidR="00845158" w:rsidRPr="0001043E" w:rsidRDefault="0009058E">
      <w:pPr>
        <w:pStyle w:val="Titre1"/>
        <w:rPr>
          <w:lang w:val="fr-FR"/>
        </w:rPr>
      </w:pPr>
      <w:bookmarkStart w:id="47" w:name="_Toc235311146"/>
      <w:r>
        <w:rPr>
          <w:lang w:val="fr-FR"/>
        </w:rPr>
        <w:lastRenderedPageBreak/>
        <w:t>Conclusion générale et perspectives</w:t>
      </w:r>
      <w:bookmarkEnd w:id="47"/>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Ce stage a permis de concevoir et de développer une application de bureau répondant à un besoin métier concret du Service des Études et Données de l'ORMVAG : automatiser l'ensemble de la chaîne de traitement des données météorologiques, depuis l'import des mesures jusqu'à la diffusion du bulletin officiel de relevé des précipitations, tout en sécurisant l'accès aux données et en introduisant des capacités de prévision et de détection d'anomalies par apprentissage automatique.</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Sur le plan technique, ce projet a été l'occasion de mettre en œuvre une architecture logicielle en couches avec Python et PySide6, de manipuler une base de données relationnelle via un ORM, de concevoir une tâche planifiée robuste et résiliente aux indisponibilités, et de conduire un projet complet de machine learning, de la préparation des données jusqu'à l'évaluation et l'arbitrage entre plusieurs architectures de modèles.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Sur le plan métier, ce stage a permis d'appréhender concrètement les enjeux du suivi agroclimatique au sein d'un office régional de mise en valeur agricole, et de mesurer l'apport d'un outil numérique dans la fiabilisation et l'accélération de processus historiquement manuels.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L'écart de performance observé entre la prévision de pluie (corrélation 0,44) et celle de l'ETo (corrélation 0,90) avec un même modèle constitue un résultat méthodologique notable du stage : il montre que la limite rencontrée tient à la nature intrinsèquement plus bruitée et seuil de la pluie, et non à une insuffisance du modèle ou des features testées (direction du vent, saisonnalité, pression atmosphérique et nébulosité, ajoutées en fin de stage). Ce constat, ainsi qu'une typologie complémentaire du réseau (regroupement des stations par profil climatique, classification des campagnes agricoles par rapport à la normale), a permis de recentrer la valeur du volet apprentissage automatique du projet sur ses usages les plus robustes — la détection d'anomalies capteur et une prévision d'ETo exploitable — plutôt que sur une prévision de pluie dont la fiabilité reste structurellement limitée avec les données disponibles.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Plusieurs pistes d'évolution ont été identifiées pour prolonger ce travail : le recalcul de la normale pluviométrique sur 30 ans à mesure que l'historique en base s'enrichit, l'intégration d'une prévision d'ETo à l'application pour anticiper le bilan hydrique plutôt que le constater a posteriori, le recours à une source de données synoptiques (pression, nébulosité) à plus fine résolution spatiale que la réanalyse ERA5 utilisée ici, l'extension du module de détection d'anomalies à d'autres variables agroclimatiques, ainsi que l'ajout d'une interface de consultation à distance (web ou mobile) pour les utilisateurs n'ayant pas accès à un poste de travail équipé de l'application.</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48" w:name="_Toc235311147"/>
      <w:r>
        <w:rPr>
          <w:lang w:val="fr-FR"/>
        </w:rPr>
        <w:lastRenderedPageBreak/>
        <w:t>Bibliographie et webographie</w:t>
      </w:r>
      <w:bookmarkEnd w:id="48"/>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Documentation officielle PySide6 / Qt for Python — https://doc.qt.io/qtforpython/</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Documentation SQLAlchemy — https://www.sqlalchemy.org/</w:t>
      </w:r>
    </w:p>
    <w:p w:rsidR="00845158" w:rsidRPr="0001043E" w:rsidRDefault="0009058E">
      <w:pPr>
        <w:pStyle w:val="Listepuces"/>
        <w:spacing w:after="80"/>
        <w:rPr>
          <w:rFonts w:asciiTheme="majorBidi" w:hAnsiTheme="majorBidi" w:cstheme="majorBidi"/>
        </w:rPr>
      </w:pPr>
      <w:r>
        <w:rPr>
          <w:rFonts w:asciiTheme="majorBidi" w:hAnsiTheme="majorBidi" w:cstheme="majorBidi"/>
        </w:rPr>
        <w:t>Documentation APScheduler — https://apscheduler.readthedocs.io/</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Documentation TensorFlow / Keras — https://www.tensorflow.org/</w:t>
      </w:r>
    </w:p>
    <w:p w:rsidR="00845158" w:rsidRPr="0001043E" w:rsidRDefault="0009058E">
      <w:pPr>
        <w:pStyle w:val="Listepuces"/>
        <w:spacing w:after="80"/>
        <w:rPr>
          <w:rFonts w:asciiTheme="majorBidi" w:hAnsiTheme="majorBidi" w:cstheme="majorBidi"/>
        </w:rPr>
      </w:pPr>
      <w:r>
        <w:rPr>
          <w:rFonts w:asciiTheme="majorBidi" w:hAnsiTheme="majorBidi" w:cstheme="majorBidi"/>
        </w:rPr>
        <w:t>Documentation scikit-learn — https://scikit-learn.org/</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Documentation Leaflet.js — https://leafletjs.com/</w:t>
      </w:r>
    </w:p>
    <w:p w:rsidR="00845158" w:rsidRPr="0001043E" w:rsidRDefault="0009058E">
      <w:pPr>
        <w:pStyle w:val="Listepuces"/>
        <w:spacing w:after="80"/>
        <w:rPr>
          <w:rFonts w:asciiTheme="majorBidi" w:hAnsiTheme="majorBidi" w:cstheme="majorBidi"/>
          <w:lang w:val="fr-FR"/>
        </w:rPr>
      </w:pPr>
      <w:r>
        <w:rPr>
          <w:rFonts w:asciiTheme="majorBidi" w:hAnsiTheme="majorBidi" w:cstheme="majorBidi"/>
          <w:lang w:val="fr-FR"/>
        </w:rPr>
        <w:t>Bulletins et normales pluviométriques du Service des Études et Données, ORMVAG (documents internes).</w:t>
      </w:r>
    </w:p>
    <w:p w:rsidR="00845158" w:rsidRPr="0001043E" w:rsidRDefault="0009058E">
      <w:pPr>
        <w:rPr>
          <w:rFonts w:asciiTheme="majorBidi" w:hAnsiTheme="majorBidi" w:cstheme="majorBidi"/>
          <w:lang w:val="fr-FR"/>
        </w:rPr>
      </w:pPr>
      <w:r>
        <w:rPr>
          <w:rFonts w:asciiTheme="majorBidi" w:hAnsiTheme="majorBidi" w:cstheme="majorBidi"/>
          <w:lang w:val="fr-FR"/>
        </w:rPr>
        <w:br w:type="page"/>
      </w:r>
    </w:p>
    <w:p w:rsidR="00845158" w:rsidRPr="0001043E" w:rsidRDefault="0009058E">
      <w:pPr>
        <w:pStyle w:val="Titre1"/>
        <w:rPr>
          <w:lang w:val="fr-FR"/>
        </w:rPr>
      </w:pPr>
      <w:bookmarkStart w:id="49" w:name="_Toc235311148"/>
      <w:r>
        <w:rPr>
          <w:lang w:val="fr-FR"/>
        </w:rPr>
        <w:lastRenderedPageBreak/>
        <w:t>Annexes</w:t>
      </w:r>
      <w:bookmarkEnd w:id="49"/>
    </w:p>
    <w:p w:rsidR="00845158" w:rsidRPr="0001043E" w:rsidRDefault="0009058E">
      <w:pPr>
        <w:pStyle w:val="Titre2"/>
        <w:rPr>
          <w:lang w:val="fr-FR"/>
        </w:rPr>
      </w:pPr>
      <w:bookmarkStart w:id="50" w:name="_Toc235311149"/>
      <w:r>
        <w:rPr>
          <w:lang w:val="fr-FR"/>
        </w:rPr>
        <w:t>Annexe A — Structure du projet</w:t>
      </w:r>
      <w:bookmarkEnd w:id="50"/>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app/models/ — modèles SQLAlchemy (Station, Mesure, IndicateurJournalier, Role, User, HistoriqueModification)</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app/services/ — logique métier (alertes, calcul d'indicateurs, rapports, email, sauvegarde, historique, planification, prévision ML, détection d'anomalies ML)</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app/views/ — pages de l'interface (tableau de bord, import, stations, graphiques, prévisions, etc.)</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app/workers/ — traitements en arrière-plan (import de données)</w:t>
      </w:r>
    </w:p>
    <w:p w:rsidR="00845158" w:rsidRPr="0001043E" w:rsidRDefault="0009058E">
      <w:pPr>
        <w:spacing w:line="312" w:lineRule="auto"/>
        <w:jc w:val="both"/>
        <w:rPr>
          <w:rFonts w:asciiTheme="majorBidi" w:hAnsiTheme="majorBidi" w:cstheme="majorBidi"/>
          <w:lang w:val="fr-FR"/>
        </w:rPr>
      </w:pPr>
      <w:r>
        <w:rPr>
          <w:rFonts w:asciiTheme="majorBidi" w:hAnsiTheme="majorBidi" w:cstheme="majorBidi"/>
          <w:lang w:val="fr-FR"/>
        </w:rPr>
        <w:t>ML/ — pipeline machine learning (diagnostic, nettoyage, préparation, entraînement)</w:t>
      </w:r>
    </w:p>
    <w:p w:rsidR="00845158" w:rsidRPr="0001043E" w:rsidRDefault="0009058E">
      <w:pPr>
        <w:pStyle w:val="Titre2"/>
      </w:pPr>
      <w:bookmarkStart w:id="51" w:name="_Toc235311150"/>
      <w:r>
        <w:t>Annexe B — Liste des abréviations</w:t>
      </w:r>
      <w:bookmarkEnd w:id="51"/>
    </w:p>
    <w:tbl>
      <w:tblPr>
        <w:tblStyle w:val="Grilledutableau"/>
        <w:tblW w:w="0" w:type="auto"/>
        <w:jc w:val="center"/>
        <w:tblLook w:val="04A0" w:firstRow="1" w:lastRow="0" w:firstColumn="1" w:lastColumn="0" w:noHBand="0" w:noVBand="1"/>
      </w:tblPr>
      <w:tblGrid>
        <w:gridCol w:w="1701"/>
        <w:gridCol w:w="6520"/>
      </w:tblGrid>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b/>
                <w:sz w:val="21"/>
              </w:rPr>
              <w:t>Sigle</w:t>
            </w:r>
          </w:p>
        </w:tc>
        <w:tc>
          <w:tcPr>
            <w:tcW w:w="6520" w:type="dxa"/>
          </w:tcPr>
          <w:p w:rsidR="00845158" w:rsidRPr="0001043E" w:rsidRDefault="0009058E">
            <w:pPr>
              <w:rPr>
                <w:rFonts w:asciiTheme="majorBidi" w:hAnsiTheme="majorBidi" w:cstheme="majorBidi"/>
              </w:rPr>
            </w:pPr>
            <w:r>
              <w:rPr>
                <w:rFonts w:asciiTheme="majorBidi" w:hAnsiTheme="majorBidi" w:cstheme="majorBidi"/>
                <w:b/>
                <w:sz w:val="21"/>
              </w:rPr>
              <w:t>Signification</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ORMVAG</w:t>
            </w:r>
          </w:p>
        </w:tc>
        <w:tc>
          <w:tcPr>
            <w:tcW w:w="6520"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Office Régional de Mise en Valeur Agricole du Gharb</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SED</w:t>
            </w:r>
          </w:p>
        </w:tc>
        <w:tc>
          <w:tcPr>
            <w:tcW w:w="6520"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Service des Études et Données</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SGBD</w:t>
            </w:r>
          </w:p>
        </w:tc>
        <w:tc>
          <w:tcPr>
            <w:tcW w:w="6520"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Système de Gestion de Base de Données</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ORM</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Object-Relational Mapping (mapping objet-relationnel)</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LSTM</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Long Short-Term Memory (réseau de neurones récurrent)</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ETo</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Évapotranspiration de référence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GDD</w:t>
            </w:r>
          </w:p>
        </w:tc>
        <w:tc>
          <w:tcPr>
            <w:tcW w:w="6520"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Growing Degree Days (degrés-jours de croissance)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OMM</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Organisation Météorologique Mondiale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SMTP</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Simple Mail Transfer Protocol</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MAE</w:t>
            </w:r>
          </w:p>
        </w:tc>
        <w:tc>
          <w:tcPr>
            <w:tcW w:w="6520" w:type="dxa"/>
          </w:tcPr>
          <w:p w:rsidR="00845158" w:rsidRPr="0001043E" w:rsidRDefault="0009058E">
            <w:pPr>
              <w:rPr>
                <w:rFonts w:asciiTheme="majorBidi" w:hAnsiTheme="majorBidi" w:cstheme="majorBidi"/>
                <w:lang w:val="fr-FR"/>
              </w:rPr>
            </w:pPr>
            <w:r>
              <w:rPr>
                <w:rFonts w:asciiTheme="majorBidi" w:hAnsiTheme="majorBidi" w:cstheme="majorBidi"/>
                <w:sz w:val="20"/>
                <w:lang w:val="fr-FR"/>
              </w:rPr>
              <w:t>Mean Absolute Error (erreur absolue moyenne)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UI/UX</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User Interface / User Experience</w:t>
            </w:r>
          </w:p>
        </w:tc>
      </w:tr>
      <w:tr w:rsidR="00845158" w:rsidRPr="0001043E" w:rsidTr="00786993">
        <w:trPr>
          <w:jc w:val="center"/>
        </w:trPr>
        <w:tc>
          <w:tcPr>
            <w:tcW w:w="1701" w:type="dxa"/>
          </w:tcPr>
          <w:p w:rsidR="00845158" w:rsidRPr="0001043E" w:rsidRDefault="0009058E">
            <w:pPr>
              <w:rPr>
                <w:rFonts w:asciiTheme="majorBidi" w:hAnsiTheme="majorBidi" w:cstheme="majorBidi"/>
              </w:rPr>
            </w:pPr>
            <w:r>
              <w:rPr>
                <w:rFonts w:asciiTheme="majorBidi" w:hAnsiTheme="majorBidi" w:cstheme="majorBidi"/>
                <w:sz w:val="20"/>
              </w:rPr>
              <w:t>CSV</w:t>
            </w:r>
          </w:p>
        </w:tc>
        <w:tc>
          <w:tcPr>
            <w:tcW w:w="6520" w:type="dxa"/>
          </w:tcPr>
          <w:p w:rsidR="00845158" w:rsidRPr="0001043E" w:rsidRDefault="0009058E">
            <w:pPr>
              <w:rPr>
                <w:rFonts w:asciiTheme="majorBidi" w:hAnsiTheme="majorBidi" w:cstheme="majorBidi"/>
              </w:rPr>
            </w:pPr>
            <w:r>
              <w:rPr>
                <w:rFonts w:asciiTheme="majorBidi" w:hAnsiTheme="majorBidi" w:cstheme="majorBidi"/>
                <w:sz w:val="20"/>
              </w:rPr>
              <w:t>Comma-Separated Values</w:t>
            </w:r>
          </w:p>
        </w:tc>
      </w:tr>
    </w:tbl>
    <w:p w:rsidR="0009058E" w:rsidRPr="0001043E" w:rsidRDefault="0009058E">
      <w:pPr>
        <w:rPr>
          <w:rFonts w:asciiTheme="majorBidi" w:hAnsiTheme="majorBidi" w:cstheme="majorBidi"/>
        </w:rPr>
      </w:pPr>
    </w:p>
    <w:sectPr w:rsidR="0009058E" w:rsidRPr="0001043E" w:rsidSect="00034616">
      <w:headerReference w:type="default" r:id="rId24"/>
      <w:footerReference w:type="default" r:id="rId25"/>
      <w:pgSz w:w="11906" w:h="16838"/>
      <w:pgMar w:top="1134" w:right="1247" w:bottom="1134" w:left="15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2BBD" w:rsidRDefault="00522BBD">
      <w:pPr>
        <w:spacing w:after="0" w:line="240" w:lineRule="auto"/>
      </w:pPr>
      <w:r>
        <w:separator/>
      </w:r>
    </w:p>
  </w:endnote>
  <w:endnote w:type="continuationSeparator" w:id="0">
    <w:p w:rsidR="00522BBD" w:rsidRDefault="00522B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681" w:rsidRDefault="00455681">
    <w:pPr>
      <w:pStyle w:val="Pieddepage"/>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A44867">
      <w:rPr>
        <w:noProof/>
        <w:color w:val="595959"/>
        <w:sz w:val="18"/>
      </w:rPr>
      <w:t>3</w:t>
    </w:r>
    <w:r>
      <w:rPr>
        <w:color w:val="595959"/>
        <w:sz w:val="18"/>
      </w:rPr>
      <w:fldChar w:fldCharType="end"/>
    </w:r>
    <w:r>
      <w:rPr>
        <w:color w:val="595959"/>
        <w:sz w:val="18"/>
      </w:rPr>
      <w:t xml:space="preserve"> / </w:t>
    </w:r>
    <w:r>
      <w:rPr>
        <w:color w:val="595959"/>
        <w:sz w:val="18"/>
      </w:rPr>
      <w:fldChar w:fldCharType="begin"/>
    </w:r>
    <w:r>
      <w:rPr>
        <w:color w:val="595959"/>
        <w:sz w:val="18"/>
      </w:rPr>
      <w:instrText>NUMPAGES</w:instrText>
    </w:r>
    <w:r>
      <w:rPr>
        <w:color w:val="595959"/>
        <w:sz w:val="18"/>
      </w:rPr>
      <w:fldChar w:fldCharType="separate"/>
    </w:r>
    <w:r w:rsidR="00A44867">
      <w:rPr>
        <w:noProof/>
        <w:color w:val="595959"/>
        <w:sz w:val="18"/>
      </w:rPr>
      <w:t>32</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2BBD" w:rsidRDefault="00522BBD">
      <w:pPr>
        <w:spacing w:after="0" w:line="240" w:lineRule="auto"/>
      </w:pPr>
      <w:r>
        <w:separator/>
      </w:r>
    </w:p>
  </w:footnote>
  <w:footnote w:type="continuationSeparator" w:id="0">
    <w:p w:rsidR="00522BBD" w:rsidRDefault="00522BB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681" w:rsidRPr="005F5B23" w:rsidRDefault="00455681">
    <w:pPr>
      <w:pStyle w:val="En-tte"/>
      <w:jc w:val="right"/>
      <w:rPr>
        <w:lang w:val="fr-FR"/>
      </w:rPr>
    </w:pPr>
    <w:r w:rsidRPr="005F5B23">
      <w:rPr>
        <w:i/>
        <w:color w:val="595959"/>
        <w:sz w:val="16"/>
        <w:lang w:val="fr-FR"/>
      </w:rPr>
      <w:t>ORMVAG Météo Manager — Rapport de stage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43E"/>
    <w:rsid w:val="00034616"/>
    <w:rsid w:val="0006063C"/>
    <w:rsid w:val="0009058E"/>
    <w:rsid w:val="000E3AEF"/>
    <w:rsid w:val="000F6F6F"/>
    <w:rsid w:val="0015074B"/>
    <w:rsid w:val="00180FF0"/>
    <w:rsid w:val="00193F42"/>
    <w:rsid w:val="00224FB5"/>
    <w:rsid w:val="002440B7"/>
    <w:rsid w:val="0029639D"/>
    <w:rsid w:val="00326F90"/>
    <w:rsid w:val="0035617D"/>
    <w:rsid w:val="00375530"/>
    <w:rsid w:val="00393CA0"/>
    <w:rsid w:val="003973B1"/>
    <w:rsid w:val="003C03A6"/>
    <w:rsid w:val="00455681"/>
    <w:rsid w:val="004944B9"/>
    <w:rsid w:val="00522BBD"/>
    <w:rsid w:val="005B3545"/>
    <w:rsid w:val="005F5B23"/>
    <w:rsid w:val="006623D2"/>
    <w:rsid w:val="00674E72"/>
    <w:rsid w:val="007248B1"/>
    <w:rsid w:val="00786993"/>
    <w:rsid w:val="008214E4"/>
    <w:rsid w:val="00845158"/>
    <w:rsid w:val="008524A3"/>
    <w:rsid w:val="008C0E36"/>
    <w:rsid w:val="00912789"/>
    <w:rsid w:val="00A25778"/>
    <w:rsid w:val="00A44867"/>
    <w:rsid w:val="00AA1D8D"/>
    <w:rsid w:val="00B47730"/>
    <w:rsid w:val="00B8701E"/>
    <w:rsid w:val="00BE7304"/>
    <w:rsid w:val="00CB0664"/>
    <w:rsid w:val="00D4718E"/>
    <w:rsid w:val="00ED7B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C05FD22-471B-4422-986D-A20442397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B8701E"/>
    <w:pPr>
      <w:keepNext/>
      <w:keepLines/>
      <w:spacing w:before="360"/>
      <w:outlineLvl w:val="0"/>
    </w:pPr>
    <w:rPr>
      <w:rFonts w:asciiTheme="majorBidi" w:eastAsiaTheme="majorEastAsia" w:hAnsiTheme="majorBidi" w:cstheme="majorBidi"/>
      <w:b/>
      <w:bCs/>
      <w:color w:val="403152" w:themeColor="accent4" w:themeShade="80"/>
      <w:sz w:val="48"/>
      <w:szCs w:val="28"/>
    </w:rPr>
  </w:style>
  <w:style w:type="paragraph" w:styleId="Titre2">
    <w:name w:val="heading 2"/>
    <w:basedOn w:val="Normal"/>
    <w:next w:val="Normal"/>
    <w:link w:val="Titre2Car"/>
    <w:uiPriority w:val="9"/>
    <w:unhideWhenUsed/>
    <w:qFormat/>
    <w:rsid w:val="00B8701E"/>
    <w:pPr>
      <w:keepNext/>
      <w:keepLines/>
      <w:spacing w:before="240" w:after="120"/>
      <w:outlineLvl w:val="1"/>
    </w:pPr>
    <w:rPr>
      <w:rFonts w:asciiTheme="majorBidi" w:eastAsiaTheme="majorEastAsia" w:hAnsiTheme="majorBidi" w:cstheme="majorBidi"/>
      <w:b/>
      <w:bCs/>
      <w:color w:val="5F497A" w:themeColor="accent4" w:themeShade="BF"/>
      <w:sz w:val="32"/>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i/>
      <w:color w:val="595959"/>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8701E"/>
    <w:rPr>
      <w:rFonts w:asciiTheme="majorBidi" w:eastAsiaTheme="majorEastAsia" w:hAnsiTheme="majorBidi" w:cstheme="majorBidi"/>
      <w:b/>
      <w:bCs/>
      <w:color w:val="403152" w:themeColor="accent4" w:themeShade="80"/>
      <w:sz w:val="48"/>
      <w:szCs w:val="28"/>
    </w:rPr>
  </w:style>
  <w:style w:type="character" w:customStyle="1" w:styleId="Titre2Car">
    <w:name w:val="Titre 2 Car"/>
    <w:basedOn w:val="Policepardfaut"/>
    <w:link w:val="Titre2"/>
    <w:uiPriority w:val="9"/>
    <w:rsid w:val="00B8701E"/>
    <w:rPr>
      <w:rFonts w:asciiTheme="majorBidi" w:eastAsiaTheme="majorEastAsia" w:hAnsiTheme="majorBidi" w:cstheme="majorBidi"/>
      <w:b/>
      <w:bCs/>
      <w:color w:val="5F497A" w:themeColor="accent4" w:themeShade="BF"/>
      <w:sz w:val="32"/>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F5B23"/>
    <w:pPr>
      <w:spacing w:after="100"/>
    </w:pPr>
  </w:style>
  <w:style w:type="paragraph" w:styleId="TM2">
    <w:name w:val="toc 2"/>
    <w:basedOn w:val="Normal"/>
    <w:next w:val="Normal"/>
    <w:autoRedefine/>
    <w:uiPriority w:val="39"/>
    <w:unhideWhenUsed/>
    <w:rsid w:val="005F5B23"/>
    <w:pPr>
      <w:spacing w:after="100"/>
      <w:ind w:left="220"/>
    </w:pPr>
  </w:style>
  <w:style w:type="paragraph" w:styleId="TM3">
    <w:name w:val="toc 3"/>
    <w:basedOn w:val="Normal"/>
    <w:next w:val="Normal"/>
    <w:autoRedefine/>
    <w:uiPriority w:val="39"/>
    <w:unhideWhenUsed/>
    <w:rsid w:val="005F5B23"/>
    <w:pPr>
      <w:spacing w:after="100"/>
      <w:ind w:left="440"/>
    </w:pPr>
  </w:style>
  <w:style w:type="character" w:styleId="Lienhypertexte">
    <w:name w:val="Hyperlink"/>
    <w:basedOn w:val="Policepardfaut"/>
    <w:uiPriority w:val="99"/>
    <w:unhideWhenUsed/>
    <w:rsid w:val="005F5B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EBF6F7-7153-461A-8F7A-8FB6FAAC7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1</Pages>
  <Words>8646</Words>
  <Characters>47554</Characters>
  <Application>Microsoft Office Word</Application>
  <DocSecurity>0</DocSecurity>
  <Lines>396</Lines>
  <Paragraphs>112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56088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11</cp:revision>
  <dcterms:created xsi:type="dcterms:W3CDTF">2013-12-23T23:15:00Z</dcterms:created>
  <dcterms:modified xsi:type="dcterms:W3CDTF">2026-07-20T07:26:00Z</dcterms:modified>
  <cp:category/>
</cp:coreProperties>
</file>