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FFA" w:rsidRDefault="00A70FFA"/>
    <w:p w:rsidR="00A70FFA" w:rsidRDefault="00A70FFA">
      <w:r>
        <w:t>Diskussion</w:t>
      </w:r>
    </w:p>
    <w:p w:rsidR="00AB1E06" w:rsidRDefault="00AB1E06" w:rsidP="00AB1E06">
      <w:pPr>
        <w:pStyle w:val="Default"/>
        <w:rPr>
          <w:sz w:val="36"/>
          <w:szCs w:val="36"/>
        </w:rPr>
      </w:pPr>
      <w:r>
        <w:rPr>
          <w:b/>
          <w:bCs/>
          <w:sz w:val="36"/>
          <w:szCs w:val="36"/>
        </w:rPr>
        <w:t xml:space="preserve">7 Beantwortung der Fragestellung </w:t>
      </w:r>
    </w:p>
    <w:p w:rsidR="00AB1E06" w:rsidRDefault="00AB1E06" w:rsidP="00AB1E06">
      <w:pPr>
        <w:pStyle w:val="Default"/>
        <w:rPr>
          <w:sz w:val="23"/>
          <w:szCs w:val="23"/>
        </w:rPr>
      </w:pPr>
    </w:p>
    <w:p w:rsidR="00AB1E06" w:rsidRDefault="00AB1E06" w:rsidP="00AB1E06">
      <w:pPr>
        <w:pStyle w:val="Default"/>
        <w:rPr>
          <w:sz w:val="23"/>
          <w:szCs w:val="23"/>
        </w:rPr>
      </w:pPr>
    </w:p>
    <w:p w:rsidR="00AB1E06" w:rsidRPr="00BC0938" w:rsidRDefault="00AB1E06" w:rsidP="00AB1E06">
      <w:pPr>
        <w:spacing w:after="0" w:line="360" w:lineRule="auto"/>
        <w:jc w:val="both"/>
        <w:rPr>
          <w:rFonts w:ascii="Arial" w:eastAsia="Arial" w:hAnsi="Arial" w:cs="Arial"/>
          <w:color w:val="000000"/>
          <w:sz w:val="24"/>
          <w:szCs w:val="24"/>
        </w:rPr>
      </w:pPr>
      <w:r>
        <w:rPr>
          <w:rFonts w:ascii="Arial" w:hAnsi="Arial" w:cs="Arial"/>
          <w:sz w:val="24"/>
          <w:szCs w:val="24"/>
        </w:rPr>
        <w:t>Die zu Beginn der Arbeit formulierte Fragestellung lautete</w:t>
      </w:r>
      <w:r w:rsidRPr="00AB1E06">
        <w:rPr>
          <w:rFonts w:ascii="Arial" w:eastAsia="Arial" w:hAnsi="Arial" w:cs="Arial"/>
          <w:sz w:val="24"/>
          <w:szCs w:val="24"/>
        </w:rPr>
        <w:t xml:space="preserve"> </w:t>
      </w:r>
      <w:r w:rsidRPr="00BC0938">
        <w:rPr>
          <w:rFonts w:ascii="Arial" w:eastAsia="Arial" w:hAnsi="Arial" w:cs="Arial"/>
          <w:sz w:val="24"/>
          <w:szCs w:val="24"/>
        </w:rPr>
        <w:t xml:space="preserve">„Welche nicht-pharmakologischen Interventionen werden in der Fachliteratur zur </w:t>
      </w:r>
      <w:r w:rsidR="00B844B4" w:rsidRPr="00B844B4">
        <w:rPr>
          <w:rFonts w:ascii="Arial" w:eastAsia="Arial" w:hAnsi="Arial" w:cs="Arial"/>
          <w:color w:val="FF0000"/>
          <w:sz w:val="24"/>
          <w:szCs w:val="24"/>
        </w:rPr>
        <w:t>Schmerzb</w:t>
      </w:r>
      <w:r w:rsidRPr="00B844B4">
        <w:rPr>
          <w:rFonts w:ascii="Arial" w:eastAsia="Arial" w:hAnsi="Arial" w:cs="Arial"/>
          <w:color w:val="FF0000"/>
          <w:sz w:val="24"/>
          <w:szCs w:val="24"/>
        </w:rPr>
        <w:t>ehandlu</w:t>
      </w:r>
      <w:r w:rsidRPr="00BC0938">
        <w:rPr>
          <w:rFonts w:ascii="Arial" w:eastAsia="Arial" w:hAnsi="Arial" w:cs="Arial"/>
          <w:sz w:val="24"/>
          <w:szCs w:val="24"/>
        </w:rPr>
        <w:t>ng von Patientinnen der Neonatalogie beschrieben?</w:t>
      </w:r>
      <w:r>
        <w:rPr>
          <w:rFonts w:ascii="Arial" w:eastAsia="Arial" w:hAnsi="Arial" w:cs="Arial"/>
          <w:sz w:val="24"/>
          <w:szCs w:val="24"/>
        </w:rPr>
        <w:t>"</w:t>
      </w:r>
    </w:p>
    <w:p w:rsidR="00B844B4" w:rsidRDefault="00AB1E06" w:rsidP="00AB1E06">
      <w:pPr>
        <w:pStyle w:val="Default"/>
        <w:rPr>
          <w:sz w:val="23"/>
          <w:szCs w:val="23"/>
        </w:rPr>
      </w:pPr>
      <w:r>
        <w:rPr>
          <w:sz w:val="23"/>
          <w:szCs w:val="23"/>
        </w:rPr>
        <w:t xml:space="preserve">Die Fragestellung </w:t>
      </w:r>
      <w:r w:rsidR="00B844B4">
        <w:rPr>
          <w:sz w:val="23"/>
          <w:szCs w:val="23"/>
        </w:rPr>
        <w:t xml:space="preserve">konnte im Rahmen dieser Arbeit weitgehend </w:t>
      </w:r>
      <w:r>
        <w:rPr>
          <w:sz w:val="23"/>
          <w:szCs w:val="23"/>
        </w:rPr>
        <w:t>beantwortet werden</w:t>
      </w:r>
      <w:r w:rsidR="00B844B4">
        <w:rPr>
          <w:sz w:val="23"/>
          <w:szCs w:val="23"/>
        </w:rPr>
        <w:t xml:space="preserve">.  Ausgewählte Interventionen wurden mittels Fachwissen aus aktuellsten Reviews </w:t>
      </w:r>
      <w:r>
        <w:rPr>
          <w:sz w:val="23"/>
          <w:szCs w:val="23"/>
        </w:rPr>
        <w:t xml:space="preserve"> beschrieben. Die aktuelle Evidenzlage zu den Praxisempfehlungen konnte aufgezeigt werden. </w:t>
      </w:r>
      <w:r w:rsidR="00CE437D">
        <w:rPr>
          <w:sz w:val="23"/>
          <w:szCs w:val="23"/>
        </w:rPr>
        <w:t>Jedoch weisen alle Autorinnen auf die Schwierigkeiten beim Vergleichen der Studienergebnisse hin, da weder ein Goldstandart der Schmerzbewertungssysteme vorhanden ist, noch systematische Forschung zu den verursachten Prozeduralschmerzen in Bezug auf G</w:t>
      </w:r>
      <w:bookmarkStart w:id="0" w:name="_GoBack"/>
      <w:bookmarkEnd w:id="0"/>
    </w:p>
    <w:p w:rsidR="00B844B4" w:rsidRDefault="00B844B4" w:rsidP="00AB1E06">
      <w:pPr>
        <w:pStyle w:val="Default"/>
        <w:rPr>
          <w:sz w:val="23"/>
          <w:szCs w:val="23"/>
        </w:rPr>
      </w:pPr>
    </w:p>
    <w:p w:rsidR="00AB1E06" w:rsidRDefault="00AB1E06" w:rsidP="00AB1E06">
      <w:pPr>
        <w:pStyle w:val="Default"/>
        <w:rPr>
          <w:sz w:val="23"/>
          <w:szCs w:val="23"/>
        </w:rPr>
      </w:pPr>
      <w:r>
        <w:rPr>
          <w:sz w:val="23"/>
          <w:szCs w:val="23"/>
        </w:rPr>
        <w:t xml:space="preserve">Aus der Bearbeitung der Fragestellung haben sich folgende weitere Fragen ergeben: </w:t>
      </w:r>
    </w:p>
    <w:p w:rsidR="00AB1E06" w:rsidRDefault="00AB1E06" w:rsidP="00AB1E06">
      <w:pPr>
        <w:pStyle w:val="Default"/>
        <w:rPr>
          <w:sz w:val="23"/>
          <w:szCs w:val="23"/>
        </w:rPr>
      </w:pPr>
      <w:r>
        <w:rPr>
          <w:sz w:val="23"/>
          <w:szCs w:val="23"/>
        </w:rPr>
        <w:t xml:space="preserve">Aufgrund der Studie von Reid et al. (2009) stellen sich die Fragen, ob sich die Wahrnehmung über Kachexie bei den Betroffenen durch Beratung verändert hat und welche Faktoren einen direkten Einfluss auf die Wahrnehmung der Kachexie haben. </w:t>
      </w:r>
    </w:p>
    <w:p w:rsidR="00AB1E06" w:rsidRDefault="00AB1E06" w:rsidP="00AB1E06">
      <w:pPr>
        <w:pStyle w:val="Default"/>
        <w:rPr>
          <w:sz w:val="23"/>
          <w:szCs w:val="23"/>
        </w:rPr>
      </w:pPr>
      <w:r>
        <w:rPr>
          <w:sz w:val="23"/>
          <w:szCs w:val="23"/>
        </w:rPr>
        <w:t xml:space="preserve">Die häufig thematisierte Lebensqualität könnte Schwerpunkt einer weiteren Arbeit sein. Hierbei müsste festgelegt werden, was unter Lebensqualität verstanden wird und wie diese gemessen wird. Daraus lassen sich folgende Fragen ableiten: Welche Faktoren haben einen Einfluss auf die Lebensqualität? Welche Interventionen steigern die Lebensqualität? </w:t>
      </w:r>
    </w:p>
    <w:p w:rsidR="00AB1E06" w:rsidRDefault="00AB1E06" w:rsidP="00AB1E06">
      <w:r>
        <w:rPr>
          <w:sz w:val="23"/>
          <w:szCs w:val="23"/>
        </w:rPr>
        <w:t>Aus den Ergebnissen geht hervor, dass sich Angehörige für die Nahrungsversorgung der Tumorpatienten und -patientinnen verantwortlich fühlen. Somit stellt sich die Frage, wie die Angehörigen nach dem Tod der Tumorpatienten und -patientinnen mit der Situation umgehen. Bleiben Schuldgefühle, weil sie den Tumorpatienten, die Tumorpatientin nicht für die Nahrungsaufnahme motivieren konnten? Macht sich die Überzeugung bemerkbar, dass der Tod durch vermehrte Ernährung hätte verhindert werden können? Haben die Belastungen langfristige Auswirkungen?</w:t>
      </w:r>
    </w:p>
    <w:p w:rsidR="00A70FFA" w:rsidRDefault="00A70FFA"/>
    <w:p w:rsidR="00A70FFA" w:rsidRDefault="00A70FFA">
      <w:r>
        <w:t>Praxistransfer</w:t>
      </w:r>
    </w:p>
    <w:p w:rsidR="00AB1E06" w:rsidRDefault="00AB1E06">
      <w:pPr>
        <w:rPr>
          <w:sz w:val="23"/>
          <w:szCs w:val="23"/>
        </w:rPr>
      </w:pPr>
      <w:r>
        <w:rPr>
          <w:sz w:val="23"/>
          <w:szCs w:val="23"/>
        </w:rPr>
        <w:t>Anhand der Ergebnisse haben die Verfasserinnen folgende Liste mit Empfehlungen für die Praxis generiert. Voraussetzung zur Umsetzung ist ein fundiertes Fachwissen über Patientenedukation.</w:t>
      </w:r>
    </w:p>
    <w:p w:rsidR="00AB1E06" w:rsidRDefault="00AB1E06"/>
    <w:p w:rsidR="00AB1E06" w:rsidRDefault="00AB1E06">
      <w:r>
        <w:t>Intervnetionen wann wie wo</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 xml:space="preserve">Das </w:t>
      </w:r>
      <w:r>
        <w:rPr>
          <w:rFonts w:ascii="Times-Italic" w:hAnsi="Times-Italic" w:cs="Times-Italic"/>
          <w:i/>
          <w:iCs/>
        </w:rPr>
        <w:t xml:space="preserve">nicht-nutritive Saugen </w:t>
      </w:r>
      <w:r>
        <w:rPr>
          <w:rFonts w:ascii="Times-Roman" w:hAnsi="Times-Roman" w:cs="Times-Roman"/>
        </w:rPr>
        <w:t>mittels Schnuller wirkt hinsichtlich</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des Verhaltens sowohl bei gesunden wie bei</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kranken Neugeborenen unabhängig vom Alter schmerzlindernd.</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Bei gesunden Frühgeborenen erzielte diese Intervention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lastRenderedPageBreak/>
        <w:t>auch bei der Herzfrequenz eine positive Wirkung.</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Diese Intervention ist einfach anzuwenden und wird als eine</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der ersten Maßnahmen von Pflegefachpersonen ergriffen.</w:t>
      </w:r>
    </w:p>
    <w:p w:rsidR="00A70FFA" w:rsidRDefault="00A70FFA" w:rsidP="00A70FFA">
      <w:pPr>
        <w:autoSpaceDE w:val="0"/>
        <w:autoSpaceDN w:val="0"/>
        <w:adjustRightInd w:val="0"/>
        <w:spacing w:after="0" w:line="240" w:lineRule="auto"/>
        <w:rPr>
          <w:rFonts w:ascii="Times-Roman" w:hAnsi="Times-Roman" w:cs="Times-Roman"/>
        </w:rPr>
      </w:pP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Eine rasche Beruhigung nach schmerzhaften Maßnahmen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 xml:space="preserve">konnte durch das Facilitated tucking </w:t>
      </w:r>
    </w:p>
    <w:p w:rsidR="00A70FFA" w:rsidRPr="00A70FFA" w:rsidRDefault="00A70FFA" w:rsidP="00A70FFA">
      <w:pPr>
        <w:autoSpaceDE w:val="0"/>
        <w:autoSpaceDN w:val="0"/>
        <w:adjustRightInd w:val="0"/>
        <w:spacing w:after="0" w:line="240" w:lineRule="auto"/>
        <w:rPr>
          <w:rFonts w:ascii="Times-Roman" w:hAnsi="Times-Roman" w:cs="Times-Roman"/>
          <w:color w:val="FF0000"/>
        </w:rPr>
      </w:pPr>
      <w:r>
        <w:rPr>
          <w:rFonts w:ascii="Times-Roman" w:hAnsi="Times-Roman" w:cs="Times-Roman"/>
        </w:rPr>
        <w:t xml:space="preserve">beschrieben werden. </w:t>
      </w:r>
      <w:r>
        <w:rPr>
          <w:rFonts w:ascii="Times-Italic" w:hAnsi="Times-Italic" w:cs="Times-Italic"/>
          <w:i/>
          <w:iCs/>
        </w:rPr>
        <w:t xml:space="preserve">Facilitated tucking </w:t>
      </w:r>
      <w:r w:rsidRPr="00A70FFA">
        <w:rPr>
          <w:rFonts w:ascii="Times-Roman" w:hAnsi="Times-Roman" w:cs="Times-Roman"/>
          <w:color w:val="FF0000"/>
        </w:rPr>
        <w:t xml:space="preserve">führte </w:t>
      </w:r>
      <w:r w:rsidRPr="00A70FFA">
        <w:rPr>
          <w:rFonts w:ascii="Times-Roman" w:hAnsi="Times-Roman" w:cs="Times-Roman"/>
          <w:color w:val="FF0000"/>
        </w:rPr>
        <w:t>zu einer schnelleren Erholung nach dem schmerzhaften Ereignis.</w:t>
      </w:r>
    </w:p>
    <w:p w:rsidR="00A70FFA" w:rsidRDefault="00A70FFA" w:rsidP="00A70FFA">
      <w:pPr>
        <w:autoSpaceDE w:val="0"/>
        <w:autoSpaceDN w:val="0"/>
        <w:adjustRightInd w:val="0"/>
        <w:spacing w:after="0" w:line="240" w:lineRule="auto"/>
        <w:rPr>
          <w:rFonts w:ascii="Times-Roman" w:hAnsi="Times-Roman" w:cs="Times-Roman"/>
        </w:rPr>
      </w:pPr>
    </w:p>
    <w:p w:rsidR="00A70FFA" w:rsidRDefault="00A70FFA" w:rsidP="00A70FFA">
      <w:pPr>
        <w:autoSpaceDE w:val="0"/>
        <w:autoSpaceDN w:val="0"/>
        <w:adjustRightInd w:val="0"/>
        <w:spacing w:after="0" w:line="240" w:lineRule="auto"/>
        <w:rPr>
          <w:rFonts w:ascii="Times-Roman" w:hAnsi="Times-Roman" w:cs="Times-Roman"/>
        </w:rPr>
      </w:pPr>
      <w:r w:rsidRPr="00A70FFA">
        <w:rPr>
          <w:rFonts w:ascii="Times-Roman" w:hAnsi="Times-Roman" w:cs="Times-Roman"/>
          <w:color w:val="FF0000"/>
        </w:rPr>
        <w:t>Skin-to-Skin- Care</w:t>
      </w:r>
      <w:r w:rsidRPr="00A70FFA">
        <w:rPr>
          <w:rFonts w:ascii="Times-Italic" w:hAnsi="Times-Italic" w:cs="Times-Italic"/>
          <w:i/>
          <w:iCs/>
          <w:color w:val="FF0000"/>
        </w:rPr>
        <w:t xml:space="preserve"> </w:t>
      </w:r>
      <w:r>
        <w:rPr>
          <w:rFonts w:ascii="Times-Roman" w:hAnsi="Times-Roman" w:cs="Times-Roman"/>
        </w:rPr>
        <w:t>reduziert das Schmerzverhalten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signifikant (Johnston et al., 2003) und erweist sich als wirksame</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Strategie zur Schmerzlinderung. Zudem unterstützt</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Skin-to-Skin-Care</w:t>
      </w:r>
      <w:r w:rsidR="00AB1E06">
        <w:rPr>
          <w:rFonts w:ascii="Times-Roman" w:hAnsi="Times-Roman" w:cs="Times-Roman"/>
        </w:rPr>
        <w:t xml:space="preserve"> unterstützt die Beziehung zwischen den Eltern und des Neugebornen</w:t>
      </w:r>
      <w:r>
        <w:rPr>
          <w:rFonts w:ascii="Times-Roman" w:hAnsi="Times-Roman" w:cs="Times-Roman"/>
        </w:rPr>
        <w:t xml:space="preserve"> das Mutter-Vater-Kind-Bonding in einer</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von Trennung geprägten Zeit.</w:t>
      </w:r>
    </w:p>
    <w:p w:rsidR="00A70FFA" w:rsidRDefault="00A70FFA" w:rsidP="00A70FFA">
      <w:pPr>
        <w:autoSpaceDE w:val="0"/>
        <w:autoSpaceDN w:val="0"/>
        <w:adjustRightInd w:val="0"/>
        <w:spacing w:after="0" w:line="240" w:lineRule="auto"/>
        <w:rPr>
          <w:rFonts w:ascii="Times-Roman" w:hAnsi="Times-Roman" w:cs="Times-Roman"/>
        </w:rPr>
      </w:pP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Es gilt zu beachten, dass der Effekt nicht-medikamentöser</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Interventionen ausschließlich bei einmaligen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schmerzhaften Interventionen überprüft wurde. In Anbetracht</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dessen, dass Neugeborene einer neonatologischen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Intensivstation, insbesondere Frühgeborene, einer hohen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Anzahl schmerzhafter Interventionen ausgesetzt sind,</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bleibt es ungeklärt, ob die beschriebenen nicht-medikamentösen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Interventionen auch langfristig eine Wirkung</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erzielen. Leider liegen zu dieser Thematik keine Untersuchungen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vor. Auch bei schwer kranken Neugeborenen, die</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z.B. einer maschinellen Beatmung bedürfen, wurden diese</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Interventionen zu wenig getestet. Einige der vorliegenden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Studien werfen die Frage nach der Wirksamkeit nichtmedikamentöser</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Interventionen bei kranken Früh- und</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Termingeborenen auf. Sie kann hier nicht schlüssig beantwortet</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werden. Es bleibt weiterhin offen, welche</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schmerzlindernden Maßnahmen bei der vulnerablen Gruppe</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kranker und beatmeter Frühgeborener einen lindernden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Effekt erzielen. Hier gilt es, weitere Untersuchungen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durchzuführen, um auch diese Frühgeborenen in ihrem</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Wohlbefinden zu fördern und ihnen eine möglichst unbeeinträchtigte</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kognitive und motorische Entwicklung zu</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ermöglichen. Fest steht, dass die Schmerzerfassung, -prävention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und -behandlung bei Frühgeborenen und kranken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Neugeborenen zentrale Aufgaben für Pflegefachpersonen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und ÄrztInnen einer Neonatologie darstellen. Diese Aufgaben</w:t>
      </w:r>
    </w:p>
    <w:p w:rsidR="00A70FFA" w:rsidRDefault="00A70FFA" w:rsidP="00A70FFA">
      <w:pPr>
        <w:autoSpaceDE w:val="0"/>
        <w:autoSpaceDN w:val="0"/>
        <w:adjustRightInd w:val="0"/>
        <w:spacing w:after="0" w:line="240" w:lineRule="auto"/>
        <w:rPr>
          <w:rFonts w:ascii="Times-Roman" w:hAnsi="Times-Roman" w:cs="Times-Roman"/>
        </w:rPr>
      </w:pPr>
      <w:r>
        <w:rPr>
          <w:rFonts w:ascii="Times-Roman" w:hAnsi="Times-Roman" w:cs="Times-Roman"/>
        </w:rPr>
        <w:t>bedürfen einer Systematik, welche mit Richtlinien</w:t>
      </w:r>
    </w:p>
    <w:p w:rsidR="00A70FFA" w:rsidRDefault="00A70FFA" w:rsidP="00A70FFA">
      <w:r>
        <w:rPr>
          <w:rFonts w:ascii="Times-Roman" w:hAnsi="Times-Roman" w:cs="Times-Roman"/>
        </w:rPr>
        <w:t>und Standards untermauert sein sollten</w:t>
      </w:r>
      <w:r>
        <w:rPr>
          <w:rFonts w:ascii="Times-Roman" w:hAnsi="Times-Roman" w:cs="Times-Roman"/>
        </w:rPr>
        <w:t>.</w:t>
      </w:r>
    </w:p>
    <w:sectPr w:rsidR="00A70FF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FA"/>
    <w:rsid w:val="00A70FFA"/>
    <w:rsid w:val="00AB1E06"/>
    <w:rsid w:val="00B844B4"/>
    <w:rsid w:val="00CE43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72F2"/>
  <w15:chartTrackingRefBased/>
  <w15:docId w15:val="{73D29201-CCBB-476E-A74F-28D1F34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1E0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1</cp:revision>
  <dcterms:created xsi:type="dcterms:W3CDTF">2019-01-01T22:30:00Z</dcterms:created>
  <dcterms:modified xsi:type="dcterms:W3CDTF">2019-01-01T23:08:00Z</dcterms:modified>
</cp:coreProperties>
</file>