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F2C52"/>
          <w:sz w:val="56"/>
          <w:szCs w:val="56"/>
        </w:rPr>
        <w:t xml:space="preserve">ObRail Europe</w:t>
      </w:r>
    </w:p>
    <w:p>
      <w:pPr>
        <w:spacing w:after="600"/>
        <w:jc w:val="center"/>
      </w:pPr>
      <w:r>
        <w:rPr>
          <w:color w:val="555555"/>
          <w:sz w:val="26"/>
          <w:szCs w:val="26"/>
        </w:rPr>
        <w:t xml:space="preserve">Observatoire des dessertes ferroviaires européennes</w:t>
      </w:r>
    </w:p>
    <w:p>
      <w:pPr>
        <w:spacing w:after="200"/>
        <w:jc w:val="center"/>
      </w:pPr>
      <w:r>
        <w:rPr>
          <w:b/>
          <w:bCs/>
          <w:sz w:val="40"/>
          <w:szCs w:val="40"/>
        </w:rPr>
        <w:t xml:space="preserve">RAPPORT TECHNIQUE</w:t>
      </w:r>
    </w:p>
    <w:p>
      <w:pPr>
        <w:spacing w:after="100"/>
        <w:jc w:val="center"/>
      </w:pPr>
      <w:r>
        <w:rPr>
          <w:sz w:val="28"/>
          <w:szCs w:val="28"/>
        </w:rPr>
        <w:t xml:space="preserve">Mise en production d'une solution applicative</w:t>
      </w:r>
    </w:p>
    <w:p>
      <w:pPr>
        <w:spacing w:after="1200"/>
        <w:jc w:val="center"/>
      </w:pPr>
      <w:r>
        <w:rPr>
          <w:i/>
          <w:iCs/>
          <w:color w:val="555555"/>
          <w:sz w:val="24"/>
          <w:szCs w:val="24"/>
        </w:rPr>
        <w:t xml:space="preserve">MSPR TPRE532 — Bloc 3 : Produire et maintenir une solution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Champ</w:t>
            </w:r>
          </w:p>
        </w:tc>
        <w:tc>
          <w:tcPr>
            <w:tcW w:type="dxa" w:w="6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Valeur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Certification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Développeur en Intelligence Artificielle et Data Science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Référentiel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RNCP 36581 / RNCP 37827 — Niveau 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Bloc de compétences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Bloc 3 — Produire et maintenir une solution I.A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MSPR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TPRE532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Établissement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EPSI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Auteur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(à compléter)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(à compléter)</w:t>
            </w:r>
          </w:p>
        </w:tc>
      </w:tr>
    </w:tbl>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Contexte</w:t>
      </w:r>
    </w:p>
    <w:p>
      <w:pPr>
        <w:spacing w:after="120"/>
      </w:pPr>
      <w:r>
        <w:t xml:space="preserve">ObRail Europe est un observatoire indépendant spécialisé dans le ferroviaire et la mobilité durable. L'organisation analyse les dessertes ferroviaires européennes afin d'évaluer la contribution des trains de jour et de nuit à une mobilité bas-carbone, et de positionner le rail comme alternative crédible à l'avion sur les trajets intra-européens.</w:t>
      </w:r>
    </w:p>
    <w:p>
      <w:pPr>
        <w:spacing w:after="120"/>
      </w:pPr>
      <w:r>
        <w:t xml:space="preserve">Les deux mises en situation précédentes ont permis de constituer un socle technique : un entrepôt de données harmonisé (processus ETL, base PostgreSQL) puis un modèle d'intelligence artificielle de substitution avion-train, exposé par une première API REST prototype.</w:t>
      </w:r>
    </w:p>
    <w:p>
      <w:pPr>
        <w:pStyle w:val="Heading2"/>
      </w:pPr>
      <w:r>
        <w:t xml:space="preserve">1.2 Objectif de la mission</w:t>
      </w:r>
    </w:p>
    <w:p>
      <w:pPr>
        <w:spacing w:after="120"/>
      </w:pPr>
      <w:r>
        <w:t xml:space="preserve">Ce troisième projet vise à industrialiser et mettre en production cette solution. Le prototype, jusqu'ici déployé manuellement, sans tests automatisés ni supervision, doit devenir une application web complète, conteneurisée, testée, supervisée et déployée en continu (CI/CD). La solution doit être stable, reproductible et prête à accueillir le modèle d'IA en production.</w:t>
      </w:r>
    </w:p>
    <w:p>
      <w:pPr>
        <w:spacing w:after="120"/>
      </w:pPr>
      <w:r>
        <w:t xml:space="preserve">Concrètement, un évaluateur doit pouvoir lancer l'ensemble de la solution avec une seule commande, accéder aux interfaces, vérifier la persistance des données et consulter les tableaux de bord de supervision.</w:t>
      </w:r>
    </w:p>
    <w:p>
      <w:pPr>
        <w:pStyle w:val="Heading1"/>
      </w:pPr>
      <w:r>
        <w:t xml:space="preserve">2. Architecture de la solution</w:t>
      </w:r>
    </w:p>
    <w:p>
      <w:pPr>
        <w:pStyle w:val="Heading2"/>
      </w:pPr>
      <w:r>
        <w:t xml:space="preserve">2.1 Vue d'ensemble</w:t>
      </w:r>
    </w:p>
    <w:p>
      <w:pPr>
        <w:spacing w:after="120"/>
      </w:pPr>
      <w:r>
        <w:t xml:space="preserve">La solution repose sur une architecture multi-services conteneurisée. Chaque composant est isolé dans son propre conteneur Docker et communique avec les autres via un réseau interne défini par Docker Compose. Cette séparation des responsabilités facilite la maintenance, les tests et le déploiement.</w:t>
      </w:r>
    </w:p>
    <w:p>
      <w:pPr>
        <w:pStyle w:val="Heading2"/>
      </w:pPr>
      <w:r>
        <w:t xml:space="preserve">2.2 Composants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Composant</w:t>
            </w:r>
          </w:p>
        </w:tc>
        <w:tc>
          <w:tcPr>
            <w:tcW w:type="dxa" w:w="4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Rôle</w:t>
            </w:r>
          </w:p>
        </w:tc>
        <w:tc>
          <w:tcPr>
            <w:tcW w:type="dxa" w:w="2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Technologie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de données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Persistance des données ferroviaires harmonisées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 (API)</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Exposition des données et du modèle IA via une API REST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 (Python 3.11)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Interface de consultation, filtrage et visualisation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18 + Vite, servi par Nginx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Collecte de métriques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Collecte et historisation des métriques applicatives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Prometheus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Supervision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Tableaux de bord de supervision en temps réel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Grafana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Orchestration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Démarrage coordonné de tous les services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Compose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CI/CD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Tests, build d'images et livraison continue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 Actions</w:t>
            </w:r>
          </w:p>
        </w:tc>
      </w:tr>
    </w:tbl>
    <w:p>
      <w:r>
        <w:t xml:space="preserve"/>
      </w:r>
    </w:p>
    <w:p>
      <w:pPr>
        <w:pStyle w:val="Heading2"/>
      </w:pPr>
      <w:r>
        <w:t xml:space="preserve">2.3 Schéma d'architecture</w:t>
      </w:r>
    </w:p>
    <w:p>
      <w:pPr>
        <w:spacing w:after="120"/>
      </w:pPr>
      <w:r>
        <w:rPr>
          <w:i/>
          <w:iCs/>
          <w:color w:val="555555"/>
        </w:rPr>
        <w:t xml:space="preserve">Le diagramme ci-dessous présente l'organisation des services et les flux de communication. (Un schéma graphique est inséré dans la version finale ; la description textuelle ci-dessous en synthétise les flux.)</w:t>
      </w:r>
    </w:p>
    <w:p>
      <w:pPr>
        <w:pStyle w:val="ListParagraph"/>
        <w:numPr>
          <w:ilvl w:val="0"/>
          <w:numId w:val="2"/>
        </w:numPr>
        <w:spacing w:after="60"/>
      </w:pPr>
      <w:r>
        <w:t xml:space="preserve">L'utilisateur accède au frontend React (port 5173), qui interroge l'API backend via HTTP.</w:t>
      </w:r>
    </w:p>
    <w:p>
      <w:pPr>
        <w:pStyle w:val="ListParagraph"/>
        <w:numPr>
          <w:ilvl w:val="0"/>
          <w:numId w:val="2"/>
        </w:numPr>
        <w:spacing w:after="60"/>
      </w:pPr>
      <w:r>
        <w:t xml:space="preserve">L'API backend (port 8000) interroge la base PostgreSQL (port 5432) pour lire les données ferroviaires, et expose le modèle IA via l'endpoint /predict.</w:t>
      </w:r>
    </w:p>
    <w:p>
      <w:pPr>
        <w:pStyle w:val="ListParagraph"/>
        <w:numPr>
          <w:ilvl w:val="0"/>
          <w:numId w:val="2"/>
        </w:numPr>
        <w:spacing w:after="60"/>
      </w:pPr>
      <w:r>
        <w:t xml:space="preserve">L'API expose ses métriques sur l'endpoint /metrics.</w:t>
      </w:r>
    </w:p>
    <w:p>
      <w:pPr>
        <w:pStyle w:val="ListParagraph"/>
        <w:numPr>
          <w:ilvl w:val="0"/>
          <w:numId w:val="2"/>
        </w:numPr>
        <w:spacing w:after="60"/>
      </w:pPr>
      <w:r>
        <w:t xml:space="preserve">Prometheus (port 9090) collecte régulièrement ces métriques.</w:t>
      </w:r>
    </w:p>
    <w:p>
      <w:pPr>
        <w:pStyle w:val="ListParagraph"/>
        <w:numPr>
          <w:ilvl w:val="0"/>
          <w:numId w:val="2"/>
        </w:numPr>
        <w:spacing w:after="60"/>
      </w:pPr>
      <w:r>
        <w:t xml:space="preserve">Grafana (port 3000) lit les données de Prometheus et les présente sous forme de tableaux de bord.</w:t>
      </w:r>
    </w:p>
    <w:p>
      <w:pPr>
        <w:pStyle w:val="ListParagraph"/>
        <w:numPr>
          <w:ilvl w:val="0"/>
          <w:numId w:val="2"/>
        </w:numPr>
        <w:spacing w:after="60"/>
      </w:pPr>
      <w:r>
        <w:t xml:space="preserve">Docker Compose orchestre l'ensemble ; un volume persistant garantit la conservation des données PostgreSQL.</w:t>
      </w:r>
    </w:p>
    <w:p>
      <w:r>
        <w:t xml:space="preserve"/>
      </w:r>
    </w:p>
    <w:p>
      <w:pPr>
        <w:pStyle w:val="Heading2"/>
      </w:pPr>
      <w:r>
        <w:t xml:space="preserve">2.4 Schéma de la base de données</w:t>
      </w:r>
    </w:p>
    <w:p>
      <w:pPr>
        <w:spacing w:after="120"/>
      </w:pPr>
      <w:r>
        <w:t xml:space="preserve">La base relationnelle est issue du processus ETL des mises en situation précédentes. Elle s'organise autour de tables de dimensions (pays, villes, gares, opérateurs, types de train, sources de données) et de tables de faits (routes, trajets, arrêts), complétées par une table de contrôle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Table</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Nature</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Volume (lignes)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 pays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 villes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19 019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 gares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40 533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 opérateurs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train_type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 type (jour / nuit)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data_source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 sources de données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route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Fait — itinéraires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4 106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trip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Fait — trajets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51 158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trip_stop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Fait — arrêts par trajet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439 987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quality_check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Contrôle qualité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51 158</w:t>
            </w:r>
          </w:p>
        </w:tc>
      </w:tr>
    </w:tbl>
    <w:p>
      <w:r>
        <w:br w:type="page"/>
      </w:r>
    </w:p>
    <w:p>
      <w:pPr>
        <w:pStyle w:val="Heading1"/>
      </w:pPr>
      <w:r>
        <w:t xml:space="preserve">3. Choix techniques argumentés</w:t>
      </w:r>
    </w:p>
    <w:p>
      <w:pPr>
        <w:pStyle w:val="Heading2"/>
      </w:pPr>
      <w:r>
        <w:t xml:space="preserve">3.1 Backend : FastAPI</w:t>
      </w:r>
    </w:p>
    <w:p>
      <w:pPr>
        <w:spacing w:after="120"/>
      </w:pPr>
      <w:r>
        <w:t xml:space="preserve">Le backend conserve FastAPI, déjà retenu dans les MSPR précédentes. Ce framework Python moderne offre des performances élevées, une validation automatique des données via Pydantic et, surtout, une génération automatique de documentation interactive (OpenAPI / Swagger), exigée par le cahier des charges. La continuité technologique évite une réécriture inutile et préserve les acquis.</w:t>
      </w:r>
    </w:p>
    <w:p>
      <w:pPr>
        <w:spacing w:after="120"/>
      </w:pPr>
      <w:r>
        <w:t xml:space="preserve">Le backend a été renforcé pour la production : gestion d'erreurs centralisée, journalisation structurée de chaque requête (méthode, chemin, code de statut, temps de réponse), configuration des origines autorisées (CORS) pour le frontend, et endpoint de santé /health renvoyant un code HTTP 503 lorsque la base est indisponible — permettant la détection automatique d'incidents.</w:t>
      </w:r>
    </w:p>
    <w:p>
      <w:pPr>
        <w:pStyle w:val="Heading2"/>
      </w:pPr>
      <w:r>
        <w:t xml:space="preserve">3.2 Frontend : React</w:t>
      </w:r>
    </w:p>
    <w:p>
      <w:pPr>
        <w:spacing w:after="120"/>
      </w:pPr>
      <w:r>
        <w:t xml:space="preserve">React a été choisi pour le frontend en raison de sa position de standard du marché, de son écosystème mature et de son intégration native avec les outils de tests end-to-end (Cypress, Playwright). L'application est construite avec Vite (build rapide) et servie en production par Nginx, configuré pour le routage d'une application monopage.</w:t>
      </w:r>
    </w:p>
    <w:p>
      <w:pPr>
        <w:spacing w:after="120"/>
      </w:pPr>
      <w:r>
        <w:t xml:space="preserve">L'interface propose trois pages : un tableau de bord (indicateurs clés, répartition jour/nuit, volumes par opérateur), une page de consultation et de filtrage des trajets, et une page d'état du service. L'accessibilité numérique (RGAA) a été prise en compte : lien d'évitement, repères ARIA, focus clavier visible, contrastes suffisants, structure sémantique et respect de la préférence de mouvement réduit.</w:t>
      </w:r>
    </w:p>
    <w:p>
      <w:pPr>
        <w:pStyle w:val="Heading2"/>
      </w:pPr>
      <w:r>
        <w:t xml:space="preserve">3.3 Conteneurisation : Docker et Docker Compose</w:t>
      </w:r>
    </w:p>
    <w:p>
      <w:pPr>
        <w:spacing w:after="120"/>
      </w:pPr>
      <w:r>
        <w:t xml:space="preserve">Chaque service dispose de son propre Dockerfile. L'image backend repose sur une base Python légère (slim) et s'exécute avec un utilisateur non privilégié, par souci de sécurité. L'image frontend utilise une construction multi-étapes : compilation avec Node, puis service des fichiers statiques par Nginx, ce qui produit une image finale réduite.</w:t>
      </w:r>
    </w:p>
    <w:p>
      <w:pPr>
        <w:spacing w:after="120"/>
      </w:pPr>
      <w:r>
        <w:t xml:space="preserve">Docker Compose orchestre les cinq services. Au démarrage, le backend attend que la base soit prête, initialise automatiquement le schéma et charge les données si la base est vide (opération idempotente). L'évaluateur peut ainsi lancer toute la solution avec une seule commande, sans étape manuelle.</w:t>
      </w:r>
    </w:p>
    <w:p>
      <w:pPr>
        <w:pStyle w:val="Heading2"/>
      </w:pPr>
      <w:r>
        <w:t xml:space="preserve">3.4 Supervision : Prometheus et Grafana</w:t>
      </w:r>
    </w:p>
    <w:p>
      <w:pPr>
        <w:spacing w:after="120"/>
      </w:pPr>
      <w:r>
        <w:t xml:space="preserve">Le couple Prometheus / Grafana constitue le standard industriel de la supervision applicative. L'API est instrumentée pour exposer ses métriques (nombre de requêtes, latence, répartition par code de statut HTTP). Prometheus collecte ces métriques à intervalle régulier ; Grafana les présente dans un tableau de bord provisionné automatiquement, qui suit la disponibilité de l'API, la latence (médiane, p95, p99), le débit de requêtes et le taux d'erreurs.</w:t>
      </w:r>
    </w:p>
    <w:p>
      <w:pPr>
        <w:pStyle w:val="Heading2"/>
      </w:pPr>
      <w:r>
        <w:t xml:space="preserve">3.5 Intégration et livraison continues : GitHub Actions</w:t>
      </w:r>
    </w:p>
    <w:p>
      <w:pPr>
        <w:spacing w:after="120"/>
      </w:pPr>
      <w:r>
        <w:t xml:space="preserve">GitHub Actions a été retenu pour sa parfaite intégration au dépôt GitHub du projet, sans outil externe à héberger. Le pipeline s'exécute automatiquement à chaque modification du code.</w:t>
      </w:r>
    </w:p>
    <w:p>
      <w:r>
        <w:br w:type="page"/>
      </w:r>
    </w:p>
    <w:p>
      <w:pPr>
        <w:pStyle w:val="Heading1"/>
      </w:pPr>
      <w:r>
        <w:t xml:space="preserve">4. Pipeline d'intégration et de livraison continues (CI/CD)</w:t>
      </w:r>
    </w:p>
    <w:p>
      <w:pPr>
        <w:spacing w:after="120"/>
      </w:pPr>
      <w:r>
        <w:t xml:space="preserve">Le pipeline est défini dans un fichier de configuration versionné (.github/workflows/ci-cd.yml). Il se déclenche à chaque envoi de code (push) et à chaque proposition de fusion (pull request) sur la branche principale. Il s'organise en quatre étapes enchaînées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Étape</w:t>
            </w:r>
          </w:p>
        </w:tc>
        <w:tc>
          <w:tcPr>
            <w:tcW w:type="dxa" w:w="6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Tests backend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Installe les dépendances, initialise une base PostgreSQL temporaire fournie par l'environnement, puis exécute l'ensemble des tests (unitaires et intégration).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Build frontend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Installe les dépendances et vérifie que l'application React compile sans erreur.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Build des images Docker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Construit les images du backend et du frontend pour valider qu'elles se construisent correctement. Ne s'exécute que si les étapes 1 et 2 ont réussi.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Tests end-to-end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Démarre la solution complète via Docker Compose et exécute les tests Cypress sur l'application réelle.</w:t>
            </w:r>
          </w:p>
        </w:tc>
      </w:tr>
    </w:tbl>
    <w:p>
      <w:r>
        <w:t xml:space="preserve"/>
      </w:r>
    </w:p>
    <w:p>
      <w:pPr>
        <w:spacing w:after="120"/>
      </w:pPr>
      <w:r>
        <w:t xml:space="preserve">La gestion des secrets et des variables d'environnement suit les bonnes pratiques : aucun identifiant n'est inscrit en clair dans le code. Un fichier .env.example documente les variables attendues, tandis que le fichier .env réel (contenant les valeurs sensibles) est exclu du versionnement.</w:t>
      </w:r>
    </w:p>
    <w:p>
      <w:pPr>
        <w:spacing w:after="120"/>
      </w:pPr>
      <w:r>
        <w:t xml:space="preserve">Ce dispositif garantit qu'aucune régression ne peut être introduite sans être détectée, et qu'une version testable est produite automatiquement à chaque évolution — répondant aux exigences d'intégration et de livraison continues du cahier des charges.</w:t>
      </w:r>
    </w:p>
    <w:p>
      <w:pPr>
        <w:pStyle w:val="Heading1"/>
      </w:pPr>
      <w:r>
        <w:t xml:space="preserve">5. Stratégie de tests</w:t>
      </w:r>
    </w:p>
    <w:p>
      <w:pPr>
        <w:spacing w:after="120"/>
      </w:pPr>
      <w:r>
        <w:t xml:space="preserve">La solution est couverte par trois niveaux de tests complémentaires, tous exécutables en local et intégrés à la chaîne CI/CD.</w:t>
      </w:r>
    </w:p>
    <w:p>
      <w:pPr>
        <w:pStyle w:val="Heading2"/>
      </w:pPr>
      <w:r>
        <w:t xml:space="preserve">5.1 Tests unitaires</w:t>
      </w:r>
    </w:p>
    <w:p>
      <w:pPr>
        <w:spacing w:after="120"/>
      </w:pPr>
      <w:r>
        <w:t xml:space="preserve">Les tests unitaires vérifient le comportement des composants pris isolément : validation des données du jeu d'entraînement, logique de prédiction du modèle, et endpoints de l'API (réponses, codes de statut, validation des entrées). Pour ces derniers, la couche d'accès à la base est simulée, ce qui permet de les exécuter rapidement et sans dépendance externe.</w:t>
      </w:r>
    </w:p>
    <w:p>
      <w:pPr>
        <w:pStyle w:val="Heading2"/>
      </w:pPr>
      <w:r>
        <w:t xml:space="preserve">5.2 Tests d'intégration</w:t>
      </w:r>
    </w:p>
    <w:p>
      <w:pPr>
        <w:spacing w:after="120"/>
      </w:pPr>
      <w:r>
        <w:t xml:space="preserve">Les tests d'intégration vérifient le fonctionnement de bout en bout entre l'API et une base PostgreSQL réelle alimentée : lecture effective des trajets, cohérence des statistiques de volumes, gestion des identifiants inexistants (erreur 404). Ils s'exécutent automatiquement lorsqu'une base est disponible, et sont ignorés proprement dans le cas contraire.</w:t>
      </w:r>
    </w:p>
    <w:p>
      <w:pPr>
        <w:pStyle w:val="Heading2"/>
      </w:pPr>
      <w:r>
        <w:t xml:space="preserve">5.3 Tests end-to-end (E2E)</w:t>
      </w:r>
    </w:p>
    <w:p>
      <w:pPr>
        <w:spacing w:after="120"/>
      </w:pPr>
      <w:r>
        <w:t xml:space="preserve">Les tests end-to-end, réalisés avec Cypress, simulent un utilisateur réel dans un navigateur : navigation entre les pages, affichage des indicateurs, filtrage des trajets, consultation de l'état du service, et vérification de critères d'accessibilité de base (lien d'évitement, langue de la page).</w:t>
      </w:r>
    </w:p>
    <w:p>
      <w:pPr>
        <w:pStyle w:val="Heading2"/>
      </w:pPr>
      <w:r>
        <w:t xml:space="preserve">5.4 Résultats</w:t>
      </w:r>
    </w:p>
    <w:p>
      <w:pPr>
        <w:spacing w:after="120"/>
      </w:pPr>
      <w:r>
        <w:t xml:space="preserve">La suite de tests backend compte 33 tests unitaires et 5 tests d'intégration, tous validés. Les tests end-to-end couvrent les parcours principaux du frontend. L'ensemble s'exécute automatiquement dans la chaîne CI/CD, qui valide chaque modification du code.</w:t>
      </w:r>
    </w:p>
    <w:p>
      <w:pPr>
        <w:pStyle w:val="Heading1"/>
      </w:pPr>
      <w:r>
        <w:t xml:space="preserve">6. Supervision et observabilité</w:t>
      </w:r>
    </w:p>
    <w:p>
      <w:pPr>
        <w:spacing w:after="120"/>
      </w:pPr>
      <w:r>
        <w:t xml:space="preserve">La supervision répond à l'exigence d'une solution monitorée en continu, capable de détecter automatiquement les anomalies.</w:t>
      </w:r>
    </w:p>
    <w:p>
      <w:pPr>
        <w:pStyle w:val="Heading2"/>
      </w:pPr>
      <w:r>
        <w:t xml:space="preserve">6.1 Métriques suivies</w:t>
      </w:r>
    </w:p>
    <w:p>
      <w:pPr>
        <w:pStyle w:val="ListParagraph"/>
        <w:numPr>
          <w:ilvl w:val="0"/>
          <w:numId w:val="2"/>
        </w:numPr>
        <w:spacing w:after="60"/>
      </w:pPr>
      <w:r>
        <w:t xml:space="preserve">Disponibilité de l'API (en ligne / hors ligne).</w:t>
      </w:r>
    </w:p>
    <w:p>
      <w:pPr>
        <w:pStyle w:val="ListParagraph"/>
        <w:numPr>
          <w:ilvl w:val="0"/>
          <w:numId w:val="2"/>
        </w:numPr>
        <w:spacing w:after="60"/>
      </w:pPr>
      <w:r>
        <w:t xml:space="preserve">Débit de requêtes (requêtes par seconde).</w:t>
      </w:r>
    </w:p>
    <w:p>
      <w:pPr>
        <w:pStyle w:val="ListParagraph"/>
        <w:numPr>
          <w:ilvl w:val="0"/>
          <w:numId w:val="2"/>
        </w:numPr>
        <w:spacing w:after="60"/>
      </w:pPr>
      <w:r>
        <w:t xml:space="preserve">Latence des réponses (médiane, 95e et 99e percentiles).</w:t>
      </w:r>
    </w:p>
    <w:p>
      <w:pPr>
        <w:pStyle w:val="ListParagraph"/>
        <w:numPr>
          <w:ilvl w:val="0"/>
          <w:numId w:val="2"/>
        </w:numPr>
        <w:spacing w:after="60"/>
      </w:pPr>
      <w:r>
        <w:t xml:space="preserve">Taux d'erreurs serveur (codes 5xx).</w:t>
      </w:r>
    </w:p>
    <w:p>
      <w:pPr>
        <w:pStyle w:val="ListParagraph"/>
        <w:numPr>
          <w:ilvl w:val="0"/>
          <w:numId w:val="2"/>
        </w:numPr>
        <w:spacing w:after="60"/>
      </w:pPr>
      <w:r>
        <w:t xml:space="preserve">Répartition des requêtes par code de statut HTTP et par endpoint.</w:t>
      </w:r>
    </w:p>
    <w:p>
      <w:pPr>
        <w:pStyle w:val="Heading2"/>
      </w:pPr>
      <w:r>
        <w:t xml:space="preserve">6.2 Journalisation</w:t>
      </w:r>
    </w:p>
    <w:p>
      <w:pPr>
        <w:spacing w:after="120"/>
      </w:pPr>
      <w:r>
        <w:t xml:space="preserve">Chaque requête est journalisée côté serveur avec sa méthode, son chemin, son code de statut et son temps de réponse. Les erreurs non prévues sont capturées par un gestionnaire global qui journalise le détail technique côté serveur tout en renvoyant au client un message neutre, sans exposer d'information sensible — conformément aux bonnes pratiques de sécurité.</w:t>
      </w:r>
    </w:p>
    <w:p>
      <w:pPr>
        <w:pStyle w:val="Heading2"/>
      </w:pPr>
      <w:r>
        <w:t xml:space="preserve">6.3 Tableau de bord</w:t>
      </w:r>
    </w:p>
    <w:p>
      <w:pPr>
        <w:spacing w:after="120"/>
      </w:pPr>
      <w:r>
        <w:t xml:space="preserve">Un tableau de bord Grafana, provisionné automatiquement au démarrage, présente l'ensemble de ces indicateurs et se rafraîchit en temps réel. Il est accessible aux équipes internes et ne nécessite aucune configuration manuelle de la part de l'évaluateur.</w:t>
      </w:r>
    </w:p>
    <w:p>
      <w:r>
        <w:br w:type="page"/>
      </w:r>
    </w:p>
    <w:p>
      <w:pPr>
        <w:pStyle w:val="Heading1"/>
      </w:pPr>
      <w:r>
        <w:t xml:space="preserve">7. Conformité : RGPD, sécurité et accessibilité</w:t>
      </w:r>
    </w:p>
    <w:p>
      <w:pPr>
        <w:pStyle w:val="Heading2"/>
      </w:pPr>
      <w:r>
        <w:t xml:space="preserve">7.1 RGPD</w:t>
      </w:r>
    </w:p>
    <w:p>
      <w:pPr>
        <w:spacing w:after="120"/>
      </w:pPr>
      <w:r>
        <w:t xml:space="preserve">Les données traitées (dessertes ferroviaires, horaires, distances, émissions) ne contiennent aucune donnée à caractère personnel. Néanmoins, les principes de transparence, de documentation et de sécurisation sont appliqués : registre de traitement, inventaire des données et documentation RGPD sont fournis dans le dossier de documentation du projet. La traçabilité des sources de données est conservée.</w:t>
      </w:r>
    </w:p>
    <w:p>
      <w:pPr>
        <w:pStyle w:val="Heading2"/>
      </w:pPr>
      <w:r>
        <w:t xml:space="preserve">7.2 Sécurité</w:t>
      </w:r>
    </w:p>
    <w:p>
      <w:pPr>
        <w:pStyle w:val="ListParagraph"/>
        <w:numPr>
          <w:ilvl w:val="0"/>
          <w:numId w:val="2"/>
        </w:numPr>
        <w:spacing w:after="60"/>
      </w:pPr>
      <w:r>
        <w:t xml:space="preserve">Aucun secret n'est versionné : les identifiants sont gérés par variables d'environnement, le fichier .env est exclu du dépôt.</w:t>
      </w:r>
    </w:p>
    <w:p>
      <w:pPr>
        <w:pStyle w:val="ListParagraph"/>
        <w:numPr>
          <w:ilvl w:val="0"/>
          <w:numId w:val="2"/>
        </w:numPr>
        <w:spacing w:after="60"/>
      </w:pPr>
      <w:r>
        <w:t xml:space="preserve">Le backend s'exécute dans son conteneur avec un utilisateur non privilégié.</w:t>
      </w:r>
    </w:p>
    <w:p>
      <w:pPr>
        <w:pStyle w:val="ListParagraph"/>
        <w:numPr>
          <w:ilvl w:val="0"/>
          <w:numId w:val="2"/>
        </w:numPr>
        <w:spacing w:after="60"/>
      </w:pPr>
      <w:r>
        <w:t xml:space="preserve">Les requêtes SQL sont paramétrées, ce qui protège contre les injections SQL.</w:t>
      </w:r>
    </w:p>
    <w:p>
      <w:pPr>
        <w:pStyle w:val="ListParagraph"/>
        <w:numPr>
          <w:ilvl w:val="0"/>
          <w:numId w:val="2"/>
        </w:numPr>
        <w:spacing w:after="60"/>
      </w:pPr>
      <w:r>
        <w:t xml:space="preserve">Les entrées de l'API sont validées (Pydantic) ; les erreurs sont gérées sans divulgation d'information technique.</w:t>
      </w:r>
    </w:p>
    <w:p>
      <w:pPr>
        <w:pStyle w:val="ListParagraph"/>
        <w:numPr>
          <w:ilvl w:val="0"/>
          <w:numId w:val="2"/>
        </w:numPr>
        <w:spacing w:after="60"/>
      </w:pPr>
      <w:r>
        <w:t xml:space="preserve">Le frontend ajoute des en-têtes de sécurité de base (protection contre le sniffing de type, le clickjacking).</w:t>
      </w:r>
    </w:p>
    <w:p>
      <w:pPr>
        <w:pStyle w:val="Heading2"/>
      </w:pPr>
      <w:r>
        <w:t xml:space="preserve">7.3 Accessibilité (RGAA)</w:t>
      </w:r>
    </w:p>
    <w:p>
      <w:pPr>
        <w:spacing w:after="120"/>
      </w:pPr>
      <w:r>
        <w:t xml:space="preserve">Le frontend respecte les principales recommandations d'accessibilité : structure sémantique (repères banner, navigation, contentinfo), lien d'évitement vers le contenu, focus clavier toujours visible, contrastes de couleurs suffisants, libellés explicites sur les champs de formulaire, et prise en compte de la préférence système de mouvement réduit.</w:t>
      </w:r>
    </w:p>
    <w:p>
      <w:pPr>
        <w:pStyle w:val="Heading1"/>
      </w:pPr>
      <w:r>
        <w:t xml:space="preserve">8. Procédures d'installation et d'exécution</w:t>
      </w:r>
    </w:p>
    <w:p>
      <w:pPr>
        <w:spacing w:after="120"/>
      </w:pPr>
      <w:r>
        <w:t xml:space="preserve">Prérequis : Docker et Docker Compose installés sur la machine.</w:t>
      </w:r>
    </w:p>
    <w:p>
      <w:pPr>
        <w:pStyle w:val="ListParagraph"/>
        <w:numPr>
          <w:ilvl w:val="0"/>
          <w:numId w:val="3"/>
        </w:numPr>
        <w:spacing w:after="60"/>
      </w:pPr>
      <w:r>
        <w:t xml:space="preserve">Cloner le dépôt du projet.</w:t>
      </w:r>
    </w:p>
    <w:p>
      <w:pPr>
        <w:pStyle w:val="ListParagraph"/>
        <w:numPr>
          <w:ilvl w:val="0"/>
          <w:numId w:val="3"/>
        </w:numPr>
        <w:spacing w:after="60"/>
      </w:pPr>
      <w:r>
        <w:t xml:space="preserve">Copier le fichier de configuration : copier .env.example vers .env.</w:t>
      </w:r>
    </w:p>
    <w:p>
      <w:pPr>
        <w:pStyle w:val="ListParagraph"/>
        <w:numPr>
          <w:ilvl w:val="0"/>
          <w:numId w:val="3"/>
        </w:numPr>
        <w:spacing w:after="60"/>
      </w:pPr>
      <w:r>
        <w:t xml:space="preserve">Lancer la solution complète : exécuter « docker compose up -d » à la racine du projet.</w:t>
      </w:r>
    </w:p>
    <w:p>
      <w:r>
        <w:t xml:space="preserve"/>
      </w:r>
    </w:p>
    <w:p>
      <w:pPr>
        <w:spacing w:after="120"/>
      </w:pPr>
      <w:r>
        <w:t xml:space="preserve">Une fois démarrée, la solution expose les interfaces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Service</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Adresse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(documentation Swagger)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http://localhost:8000/docs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http://localhost:5173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Grafana (supervision)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http://localhost:3000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Prometheus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http://localhost:9090</w:t>
            </w:r>
          </w:p>
        </w:tc>
      </w:tr>
    </w:tbl>
    <w:p>
      <w:pPr>
        <w:pStyle w:val="Heading1"/>
      </w:pPr>
      <w:r>
        <w:t xml:space="preserve">9. Stratégie de maintenance et rollback</w:t>
      </w:r>
    </w:p>
    <w:p>
      <w:pPr>
        <w:pStyle w:val="Heading2"/>
      </w:pPr>
      <w:r>
        <w:t xml:space="preserve">9.1 Mise à jour et correctifs</w:t>
      </w:r>
    </w:p>
    <w:p>
      <w:pPr>
        <w:spacing w:after="120"/>
      </w:pPr>
      <w:r>
        <w:t xml:space="preserve">Toute évolution du code passe par la chaîne CI/CD : les tests automatisés valident la modification avant qu'elle ne soit intégrée. Les images Docker sont reconstruites automatiquement, garantissant que la version livrée est toujours cohérente avec le code testé.</w:t>
      </w:r>
    </w:p>
    <w:p>
      <w:pPr>
        <w:pStyle w:val="Heading2"/>
      </w:pPr>
      <w:r>
        <w:t xml:space="preserve">9.2 Rollback</w:t>
      </w:r>
    </w:p>
    <w:p>
      <w:pPr>
        <w:spacing w:after="120"/>
      </w:pPr>
      <w:r>
        <w:t xml:space="preserve">En cas de problème sur une nouvelle version, le retour arrière s'appuie sur le versionnement Git : il suffit de revenir au dernier commit stable (chaque commit correspond à un état testé par la CI) et de relancer le déploiement. Les images Docker étant construites à partir d'un état de code précis, le comportement de la version restaurée est reproductible à l'identique.</w:t>
      </w:r>
    </w:p>
    <w:p>
      <w:pPr>
        <w:pStyle w:val="Heading2"/>
      </w:pPr>
      <w:r>
        <w:t xml:space="preserve">9.3 Persistance des données</w:t>
      </w:r>
    </w:p>
    <w:p>
      <w:pPr>
        <w:spacing w:after="120"/>
      </w:pPr>
      <w:r>
        <w:t xml:space="preserve">Les données de la base PostgreSQL, les métriques de Prometheus et la configuration de Grafana sont conservées dans des volumes Docker persistants, indépendants du cycle de vie des conteneurs. Un redémarrage ou une mise à jour des services ne provoque donc aucune perte de données.</w:t>
      </w:r>
    </w:p>
    <w:p>
      <w:pPr>
        <w:pStyle w:val="Heading1"/>
      </w:pPr>
      <w:r>
        <w:t xml:space="preserve">10. Conclusion et perspectives</w:t>
      </w:r>
    </w:p>
    <w:p>
      <w:pPr>
        <w:spacing w:after="120"/>
      </w:pPr>
      <w:r>
        <w:t xml:space="preserve">La solution livrée transforme le prototype initial en une application réellement industrialisée : conteneurisée, testée à trois niveaux, supervisée en temps réel et déployée via une chaîne d'intégration et de livraison continues. Elle est stable, reproductible et documentée, et peut être évaluée sans intervention extérieure, conformément aux attentes du cahier des charges.</w:t>
      </w:r>
    </w:p>
    <w:p>
      <w:pPr>
        <w:spacing w:after="120"/>
      </w:pPr>
      <w:r>
        <w:t xml:space="preserve">L'architecture a été pensée pour accueillir le modèle d'intelligence artificielle en production : l'endpoint de prédiction est déjà exposé et instrumenté. Les perspectives d'évolution incluent le déploiement sur un environnement distant (cloud), l'ajout d'alertes automatiques sur les seuils de métriques, et l'enrichissement de la couverture de tests.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C52" w:sz="4" w:space="4"/>
      </w:pBdr>
      <w:jc w:val="right"/>
    </w:pPr>
    <w:r>
      <w:rPr>
        <w:color w:val="555555"/>
        <w:sz w:val="16"/>
        <w:szCs w:val="16"/>
      </w:rPr>
      <w:t xml:space="preserve">ObRail Europe — Rapport technique (Bloc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F2C52"/>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0F2C52"/>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C7A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Mise en production ObRail Europe</dc:title>
  <dc:creator>ObRail Europe</dc:creator>
  <cp:lastModifiedBy>Un-named</cp:lastModifiedBy>
  <cp:revision>1</cp:revision>
  <dcterms:created xsi:type="dcterms:W3CDTF">2026-06-25T11:37:51.417Z</dcterms:created>
  <dcterms:modified xsi:type="dcterms:W3CDTF">2026-06-25T11:37:51.417Z</dcterms:modified>
</cp:coreProperties>
</file>

<file path=docProps/custom.xml><?xml version="1.0" encoding="utf-8"?>
<Properties xmlns="http://schemas.openxmlformats.org/officeDocument/2006/custom-properties" xmlns:vt="http://schemas.openxmlformats.org/officeDocument/2006/docPropsVTypes"/>
</file>