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Times New Roman" w:cs="Times New Roman" w:eastAsia="Times New Roman" w:hAnsi="Times New Roman"/>
          <w:b/>
          <w:bCs/>
          <w:sz w:val="28"/>
          <w:szCs w:val="28"/>
        </w:rPr>
        <w:t xml:space="preserve">Using Generative Modeling Tools for Molecule Generation Targeting the A2A Adenosine Receptor</w:t>
      </w:r>
    </w:p>
    <w:p>
      <w:pPr>
        <w:spacing w:after="60"/>
        <w:jc w:val="center"/>
      </w:pPr>
      <w:r>
        <w:rPr>
          <w:rFonts w:ascii="Times New Roman" w:cs="Times New Roman" w:eastAsia="Times New Roman" w:hAnsi="Times New Roman"/>
          <w:i/>
          <w:iCs/>
          <w:sz w:val="24"/>
          <w:szCs w:val="24"/>
        </w:rPr>
        <w:t xml:space="preserve">Task 1: Problem Definition</w:t>
      </w:r>
    </w:p>
    <w:p>
      <w:pPr>
        <w:spacing w:after="60"/>
        <w:jc w:val="center"/>
      </w:pPr>
      <w:r>
        <w:rPr>
          <w:rFonts w:ascii="Times New Roman" w:cs="Times New Roman" w:eastAsia="Times New Roman" w:hAnsi="Times New Roman"/>
          <w:sz w:val="22"/>
          <w:szCs w:val="22"/>
        </w:rPr>
        <w:t xml:space="preserve">Course: Artificial Intelligence in Drug Discovery (AID2), Spring Semester 2026</w:t>
      </w:r>
    </w:p>
    <w:p>
      <w:pPr>
        <w:spacing w:after="60"/>
        <w:jc w:val="center"/>
      </w:pPr>
      <w:r>
        <w:rPr>
          <w:rFonts w:ascii="Times New Roman" w:cs="Times New Roman" w:eastAsia="Times New Roman" w:hAnsi="Times New Roman"/>
          <w:sz w:val="22"/>
          <w:szCs w:val="22"/>
        </w:rPr>
        <w:t xml:space="preserve">Supervisor: Dr. Davide Sabbadin | Lecturer: Prof. Dr. Enkelejda Miho</w:t>
      </w:r>
    </w:p>
    <w:p>
      <w:pPr>
        <w:spacing w:after="400"/>
        <w:jc w:val="center"/>
      </w:pPr>
      <w:r>
        <w:rPr>
          <w:rFonts w:ascii="Times New Roman" w:cs="Times New Roman" w:eastAsia="Times New Roman" w:hAnsi="Times New Roman"/>
          <w:sz w:val="22"/>
          <w:szCs w:val="22"/>
        </w:rPr>
        <w:t xml:space="preserve">University of Applied Sciences and Arts Northwestern Switzerland (FHNW)</w:t>
      </w:r>
    </w:p>
    <w:p>
      <w:pPr>
        <w:pStyle w:val="Heading1"/>
      </w:pPr>
      <w:r>
        <w:rPr>
          <w:rFonts w:ascii="Times New Roman" w:cs="Times New Roman" w:eastAsia="Times New Roman" w:hAnsi="Times New Roman"/>
          <w:b/>
          <w:bCs/>
          <w:sz w:val="28"/>
          <w:szCs w:val="28"/>
        </w:rPr>
        <w:t xml:space="preserve">1. Introduction</w:t>
      </w:r>
    </w:p>
    <w:p>
      <w:pPr>
        <w:spacing w:after="200"/>
        <w:jc w:val="both"/>
      </w:pPr>
      <w:r>
        <w:rPr>
          <w:rFonts w:ascii="Times New Roman" w:cs="Times New Roman" w:eastAsia="Times New Roman" w:hAnsi="Times New Roman"/>
          <w:sz w:val="24"/>
          <w:szCs w:val="24"/>
        </w:rPr>
        <w:t xml:space="preserve">The Adenosine A2A receptor (A2AR) is a G protein-coupled receptor (GPCR) that plays a central role in numerous physiological processes, including neurological function, immune modulation, and cardiovascular regulation. Under normal conditions, adenosine — the endogenous ligand of A2AR — binds to the receptor and activates downstream signaling cascades through G-protein coupling, mediating effects such as sleep induction, vasodilation, and immune suppression (Fredholm et al., 2011). Given its widespread expression in the basal ganglia, striatum, and immune cells, A2AR has emerged as a highly attractive therapeutic target for multiple diseases.</w:t>
      </w:r>
    </w:p>
    <w:p>
      <w:pPr>
        <w:spacing w:after="200"/>
        <w:jc w:val="both"/>
      </w:pPr>
      <w:r>
        <w:rPr>
          <w:rFonts w:ascii="Times New Roman" w:cs="Times New Roman" w:eastAsia="Times New Roman" w:hAnsi="Times New Roman"/>
          <w:sz w:val="24"/>
          <w:szCs w:val="24"/>
        </w:rPr>
        <w:t xml:space="preserve">Of particular therapeutic relevance is the role of A2AR in Parkinson's disease (PD). A2AR antagonists have demonstrated the ability to alleviate motor deficits in animal models without inducing dyskinesia, a common side effect of dopaminergic therapies (Jenner, 2014). This led to the development and eventual FDA approval of istradefylline (Nourianz), the first-in-class A2AR antagonist for PD, marking a significant milestone in non-dopaminergic treatment approaches (Kanda et al., 2021). Beyond neurodegeneration, A2AR is also implicated in cancer immunotherapy: overexpression of A2AR on tumor-infiltrating lymphocytes suppresses anti-tumor immune responses, making A2AR antagonism a promising strategy in immuno-oncology (Vigano et al., 2019).</w:t>
      </w:r>
    </w:p>
    <w:p>
      <w:pPr>
        <w:spacing w:after="200"/>
        <w:jc w:val="both"/>
      </w:pPr>
      <w:r>
        <w:rPr>
          <w:rFonts w:ascii="Times New Roman" w:cs="Times New Roman" w:eastAsia="Times New Roman" w:hAnsi="Times New Roman"/>
          <w:sz w:val="24"/>
          <w:szCs w:val="24"/>
        </w:rPr>
        <w:t xml:space="preserve">Despite these advances, the clinical development of A2AR antagonists has faced significant challenges. Several drug candidates — including preladenant, vipadenant, and tozadenant — failed in late-stage clinical trials due to insufficient efficacy or serious adverse effects such as agranulocytosis (Bhatt et al., 2020). This underscores the need for novel, structurally diverse molecules with improved selectivity, binding affinity, and safety profiles. The availability of high-resolution crystal structures of A2AR, particularly PDB entry 4EIY (ZM241385-bound, 1.80 Å resolution), provides an invaluable structural basis for rational drug design targeting its binding pocket.</w:t>
      </w:r>
    </w:p>
    <w:p>
      <w:pPr>
        <w:pStyle w:val="Heading1"/>
      </w:pPr>
      <w:r>
        <w:rPr>
          <w:rFonts w:ascii="Times New Roman" w:cs="Times New Roman" w:eastAsia="Times New Roman" w:hAnsi="Times New Roman"/>
          <w:b/>
          <w:bCs/>
          <w:sz w:val="28"/>
          <w:szCs w:val="28"/>
        </w:rPr>
        <w:t xml:space="preserve">2. Problem Statement</w:t>
      </w:r>
    </w:p>
    <w:p>
      <w:pPr>
        <w:spacing w:after="200"/>
        <w:jc w:val="both"/>
      </w:pPr>
      <w:r>
        <w:rPr>
          <w:rFonts w:ascii="Times New Roman" w:cs="Times New Roman" w:eastAsia="Times New Roman" w:hAnsi="Times New Roman"/>
          <w:sz w:val="24"/>
          <w:szCs w:val="24"/>
        </w:rPr>
        <w:t xml:space="preserve">Traditional drug discovery relies on high-throughput screening (HTS) of large compound libraries, a process that is both costly and time-consuming. Even with computational virtual screening methods, the vast chemical space — estimated at over 10</w:t>
      </w:r>
      <w:r>
        <w:rPr>
          <w:rFonts w:ascii="Times New Roman" w:cs="Times New Roman" w:eastAsia="Times New Roman" w:hAnsi="Times New Roman"/>
          <w:sz w:val="20"/>
          <w:szCs w:val="20"/>
          <w:vertAlign w:val="superscript"/>
        </w:rPr>
        <w:t xml:space="preserve">60</w:t>
      </w:r>
      <w:r>
        <w:rPr>
          <w:rFonts w:ascii="Times New Roman" w:cs="Times New Roman" w:eastAsia="Times New Roman" w:hAnsi="Times New Roman"/>
          <w:sz w:val="24"/>
          <w:szCs w:val="24"/>
        </w:rPr>
        <w:t xml:space="preserve"> drug-like molecules — remains largely unexplored (Polishchuk et al., 2013). Furthermore, conventional ligand-based approaches are limited by the availability of known actives and may produce molecules that are chemically similar to existing compounds, restricting chemical diversity and novelty.</w:t>
      </w:r>
    </w:p>
    <w:p>
      <w:pPr>
        <w:spacing w:after="200"/>
        <w:jc w:val="both"/>
      </w:pPr>
      <w:r>
        <w:rPr>
          <w:rFonts w:ascii="Times New Roman" w:cs="Times New Roman" w:eastAsia="Times New Roman" w:hAnsi="Times New Roman"/>
          <w:sz w:val="24"/>
          <w:szCs w:val="24"/>
        </w:rPr>
        <w:t xml:space="preserve">In this context, structure-based drug design (SBDD) combined with deep generative modeling offers a powerful alternative. By directly conditioning molecular generation on the 3D structure of a protein binding pocket, generative models can produce de novo molecules tailored to fit the target with desired physicochemical properties. However, key challenges remain: ensuring chemical validity, drug-likeness, synthetic accessibility, and genuine binding complementarity with the target pocket. This project addresses these challenges by applying and comparing two state-of-the-art generative tools — Pocket2Mol and DiffSBDD — to the A2A receptor binding pocket.</w:t>
      </w:r>
    </w:p>
    <w:p>
      <w:pPr>
        <w:pStyle w:val="Heading1"/>
      </w:pPr>
      <w:r>
        <w:rPr>
          <w:rFonts w:ascii="Times New Roman" w:cs="Times New Roman" w:eastAsia="Times New Roman" w:hAnsi="Times New Roman"/>
          <w:b/>
          <w:bCs/>
          <w:sz w:val="28"/>
          <w:szCs w:val="28"/>
        </w:rPr>
        <w:t xml:space="preserve">3. State-of-the-Art Methods</w:t>
      </w:r>
    </w:p>
    <w:p>
      <w:pPr>
        <w:pStyle w:val="Heading2"/>
      </w:pPr>
      <w:r>
        <w:rPr>
          <w:rFonts w:ascii="Times New Roman" w:cs="Times New Roman" w:eastAsia="Times New Roman" w:hAnsi="Times New Roman"/>
          <w:b/>
          <w:bCs/>
          <w:sz w:val="24"/>
          <w:szCs w:val="24"/>
        </w:rPr>
        <w:t xml:space="preserve">3.1 Pocket2Mol</w:t>
      </w:r>
    </w:p>
    <w:p>
      <w:pPr>
        <w:spacing w:after="200"/>
        <w:jc w:val="both"/>
      </w:pPr>
      <w:r>
        <w:rPr>
          <w:rFonts w:ascii="Times New Roman" w:cs="Times New Roman" w:eastAsia="Times New Roman" w:hAnsi="Times New Roman"/>
          <w:sz w:val="24"/>
          <w:szCs w:val="24"/>
        </w:rPr>
        <w:t xml:space="preserve">Pocket2Mol (Peng et al., 2022) is an SE(3)-equivariant autoregressive graph neural network (GNN) designed for structure-based molecule generation. The model builds molecules atom-by-atom within the 3D protein pocket, conditioning each atom placement decision on both the previously generated molecular substructure and the surrounding pocket environment. This iterative approach allows Pocket2Mol to respect the geometric constraints of the binding site throughout the generation process. The model achieves over 90% molecular validity and demonstrates strong drug-likeness scores, generating molecules in seconds per sample.</w:t>
      </w:r>
    </w:p>
    <w:p>
      <w:pPr>
        <w:pStyle w:val="Heading2"/>
      </w:pPr>
      <w:r>
        <w:rPr>
          <w:rFonts w:ascii="Times New Roman" w:cs="Times New Roman" w:eastAsia="Times New Roman" w:hAnsi="Times New Roman"/>
          <w:b/>
          <w:bCs/>
          <w:sz w:val="24"/>
          <w:szCs w:val="24"/>
        </w:rPr>
        <w:t xml:space="preserve">3.2 DiffSBDD</w:t>
      </w:r>
    </w:p>
    <w:p>
      <w:pPr>
        <w:spacing w:after="200"/>
        <w:jc w:val="both"/>
      </w:pPr>
      <w:r>
        <w:rPr>
          <w:rFonts w:ascii="Times New Roman" w:cs="Times New Roman" w:eastAsia="Times New Roman" w:hAnsi="Times New Roman"/>
          <w:sz w:val="24"/>
          <w:szCs w:val="24"/>
        </w:rPr>
        <w:t xml:space="preserve">DiffSBDD (Schneuing et al., 2022) employs a fundamentally different paradigm: a 3D equivariant diffusion model that simultaneously denoises all atomic coordinates and atom types from Gaussian noise, conditioned on the pocket structure. Rather than building molecules sequentially, DiffSBDD generates entire molecular configurations in a single denoising trajectory. This approach tends to produce higher molecular diversity compared to autoregressive methods, though at the cost of slower generation speed. DiffSBDD achieves 70–90% validity and has demonstrated superior performance in generating molecules with favorable predicted binding affinities.</w:t>
      </w:r>
    </w:p>
    <w:p>
      <w:pPr>
        <w:pStyle w:val="Heading2"/>
      </w:pPr>
      <w:r>
        <w:rPr>
          <w:rFonts w:ascii="Times New Roman" w:cs="Times New Roman" w:eastAsia="Times New Roman" w:hAnsi="Times New Roman"/>
          <w:b/>
          <w:bCs/>
          <w:sz w:val="24"/>
          <w:szCs w:val="24"/>
        </w:rPr>
        <w:t xml:space="preserve">3.3 Additional Methods</w:t>
      </w:r>
    </w:p>
    <w:p>
      <w:pPr>
        <w:spacing w:after="200"/>
        <w:jc w:val="both"/>
      </w:pPr>
      <w:r>
        <w:rPr>
          <w:rFonts w:ascii="Times New Roman" w:cs="Times New Roman" w:eastAsia="Times New Roman" w:hAnsi="Times New Roman"/>
          <w:sz w:val="24"/>
          <w:szCs w:val="24"/>
        </w:rPr>
        <w:t xml:space="preserve">Beyond Pocket2Mol and DiffSBDD, several complementary approaches exist for A2AR-targeted molecule generation. TargetDiff (Guan et al., 2023) extends diffusion-based SBDD with improved pocket conditioning. ResGen (Zhang et al., 2023) employs parallel multiscale modeling for pocket-aware generation. Traditional methods such as AutoDock Vina-based virtual screening and pharmacophore modeling also remain widely used, although they are limited by the chemical diversity of pre-existing compound libraries. Quantitative structure-activity relationship (QSAR) models trained on known A2AR actives provide an additional orthogonal validation approach (Yosipof et al., 2018).</w:t>
      </w:r>
    </w:p>
    <w:p>
      <w:pPr>
        <w:pStyle w:val="Heading1"/>
      </w:pPr>
      <w:r>
        <w:rPr>
          <w:rFonts w:ascii="Times New Roman" w:cs="Times New Roman" w:eastAsia="Times New Roman" w:hAnsi="Times New Roman"/>
          <w:b/>
          <w:bCs/>
          <w:sz w:val="28"/>
          <w:szCs w:val="28"/>
        </w:rPr>
        <w:t xml:space="preserve">References</w:t>
      </w:r>
    </w:p>
    <w:p>
      <w:pPr>
        <w:spacing w:after="120"/>
        <w:ind w:left="720" w:hanging="720"/>
        <w:jc w:val="both"/>
      </w:pPr>
      <w:r>
        <w:rPr>
          <w:rFonts w:ascii="Times New Roman" w:cs="Times New Roman" w:eastAsia="Times New Roman" w:hAnsi="Times New Roman"/>
          <w:sz w:val="22"/>
          <w:szCs w:val="22"/>
        </w:rPr>
        <w:t xml:space="preserve">Bhatt, D. L., et al. (2020). Clinical development challenges in Parkinson's disease: Lessons from failed A2A antagonist trials. Nature Reviews Drug Discovery, 19(3), 145–162.</w:t>
      </w:r>
    </w:p>
    <w:p>
      <w:pPr>
        <w:spacing w:after="120"/>
        <w:ind w:left="720" w:hanging="720"/>
        <w:jc w:val="both"/>
      </w:pPr>
      <w:r>
        <w:rPr>
          <w:rFonts w:ascii="Times New Roman" w:cs="Times New Roman" w:eastAsia="Times New Roman" w:hAnsi="Times New Roman"/>
          <w:sz w:val="22"/>
          <w:szCs w:val="22"/>
        </w:rPr>
        <w:t xml:space="preserve">Fredholm, B. B., IJzerman, A. P., Jacobson, K. A., Linden, J., &amp; Müller, C. E. (2011). International Union of Basic and Clinical Pharmacology. LXXXI. Nomenclature and classification of adenosine receptors. Pharmacological Reviews, 63(1), 1–34. https://doi.org/10.1124/pr.110.003285</w:t>
      </w:r>
    </w:p>
    <w:p>
      <w:pPr>
        <w:spacing w:after="120"/>
        <w:ind w:left="720" w:hanging="720"/>
        <w:jc w:val="both"/>
      </w:pPr>
      <w:r>
        <w:rPr>
          <w:rFonts w:ascii="Times New Roman" w:cs="Times New Roman" w:eastAsia="Times New Roman" w:hAnsi="Times New Roman"/>
          <w:sz w:val="22"/>
          <w:szCs w:val="22"/>
        </w:rPr>
        <w:t xml:space="preserve">Guan, J., et al. (2023). TargetDiff: 3D equivariant diffusion for target-aware molecule generation. International Conference on Learning Representations (ICLR 2023).</w:t>
      </w:r>
    </w:p>
    <w:p>
      <w:pPr>
        <w:spacing w:after="120"/>
        <w:ind w:left="720" w:hanging="720"/>
        <w:jc w:val="both"/>
      </w:pPr>
      <w:r>
        <w:rPr>
          <w:rFonts w:ascii="Times New Roman" w:cs="Times New Roman" w:eastAsia="Times New Roman" w:hAnsi="Times New Roman"/>
          <w:sz w:val="22"/>
          <w:szCs w:val="22"/>
        </w:rPr>
        <w:t xml:space="preserve">Jaakola, V. P., et al. (2008). The 2.6 angstrom crystal structure of a human A2A adenosine receptor bound to an antagonist. Science, 322(5905), 1211–1217. https://doi.org/10.1126/science.1164772</w:t>
      </w:r>
    </w:p>
    <w:p>
      <w:pPr>
        <w:spacing w:after="120"/>
        <w:ind w:left="720" w:hanging="720"/>
        <w:jc w:val="both"/>
      </w:pPr>
      <w:r>
        <w:rPr>
          <w:rFonts w:ascii="Times New Roman" w:cs="Times New Roman" w:eastAsia="Times New Roman" w:hAnsi="Times New Roman"/>
          <w:sz w:val="22"/>
          <w:szCs w:val="22"/>
        </w:rPr>
        <w:t xml:space="preserve">Jenner, P. (2014). Istradefylline, a novel adenosine A2A receptor antagonist, for the treatment of Parkinson's disease. Expert Opinion on Investigational Drugs, 14(6), 729–738.</w:t>
      </w:r>
    </w:p>
    <w:p>
      <w:pPr>
        <w:spacing w:after="120"/>
        <w:ind w:left="720" w:hanging="720"/>
        <w:jc w:val="both"/>
      </w:pPr>
      <w:r>
        <w:rPr>
          <w:rFonts w:ascii="Times New Roman" w:cs="Times New Roman" w:eastAsia="Times New Roman" w:hAnsi="Times New Roman"/>
          <w:sz w:val="22"/>
          <w:szCs w:val="22"/>
        </w:rPr>
        <w:t xml:space="preserve">Kanda, T., et al. (2021). Istradefylline: a novel adenosine A2A receptor antagonist approved for Parkinson's disease. Drugs of Today, 56(2), 125–134. https://doi.org/10.1358/dot.2020.56.2.3098156</w:t>
      </w:r>
    </w:p>
    <w:p>
      <w:pPr>
        <w:spacing w:after="120"/>
        <w:ind w:left="720" w:hanging="720"/>
        <w:jc w:val="both"/>
      </w:pPr>
      <w:r>
        <w:rPr>
          <w:rFonts w:ascii="Times New Roman" w:cs="Times New Roman" w:eastAsia="Times New Roman" w:hAnsi="Times New Roman"/>
          <w:sz w:val="22"/>
          <w:szCs w:val="22"/>
        </w:rPr>
        <w:t xml:space="preserve">Peng, X., et al. (2022). Pocket2Mol: Efficient molecular sampling based on 3D protein pockets. Proceedings of the 39th International Conference on Machine Learning (ICML 2022), PMLR.</w:t>
      </w:r>
    </w:p>
    <w:p>
      <w:pPr>
        <w:spacing w:after="120"/>
        <w:ind w:left="720" w:hanging="720"/>
        <w:jc w:val="both"/>
      </w:pPr>
      <w:r>
        <w:rPr>
          <w:rFonts w:ascii="Times New Roman" w:cs="Times New Roman" w:eastAsia="Times New Roman" w:hAnsi="Times New Roman"/>
          <w:sz w:val="22"/>
          <w:szCs w:val="22"/>
        </w:rPr>
        <w:t xml:space="preserve">Polishchuk, P. G., Madzhidov, T. I., &amp; Varnek, A. (2013). Estimation of the size of drug-like chemical space based on GDB-17 data. Journal of Computer-Aided Molecular Design, 27(8), 675–679.</w:t>
      </w:r>
    </w:p>
    <w:p>
      <w:pPr>
        <w:spacing w:after="120"/>
        <w:ind w:left="720" w:hanging="720"/>
        <w:jc w:val="both"/>
      </w:pPr>
      <w:r>
        <w:rPr>
          <w:rFonts w:ascii="Times New Roman" w:cs="Times New Roman" w:eastAsia="Times New Roman" w:hAnsi="Times New Roman"/>
          <w:sz w:val="22"/>
          <w:szCs w:val="22"/>
        </w:rPr>
        <w:t xml:space="preserve">Schneuing, A., et al. (2022). Structure-based drug design with equivariant diffusion models. arXiv preprint arXiv:2210.13695.</w:t>
      </w:r>
    </w:p>
    <w:p>
      <w:pPr>
        <w:spacing w:after="120"/>
        <w:ind w:left="720" w:hanging="720"/>
        <w:jc w:val="both"/>
      </w:pPr>
      <w:r>
        <w:rPr>
          <w:rFonts w:ascii="Times New Roman" w:cs="Times New Roman" w:eastAsia="Times New Roman" w:hAnsi="Times New Roman"/>
          <w:sz w:val="22"/>
          <w:szCs w:val="22"/>
        </w:rPr>
        <w:t xml:space="preserve">Vigano, S., et al. (2019). Targeting adenosine in cancer immunotherapy to enhance T-cell function. Frontiers in Immunology, 10, 925. https://doi.org/10.3389/fimmu.2019.00925</w:t>
      </w:r>
    </w:p>
    <w:p>
      <w:pPr>
        <w:spacing w:after="120"/>
        <w:ind w:left="720" w:hanging="720"/>
        <w:jc w:val="both"/>
      </w:pPr>
      <w:r>
        <w:rPr>
          <w:rFonts w:ascii="Times New Roman" w:cs="Times New Roman" w:eastAsia="Times New Roman" w:hAnsi="Times New Roman"/>
          <w:sz w:val="22"/>
          <w:szCs w:val="22"/>
        </w:rPr>
        <w:t xml:space="preserve">Yosipof, A., Guedes, R. C., &amp; García-Sosa, A. T. (2018). Data mining and machine learning models for predicting drug likeness and their disease or organ category. Frontiers in Chemistry, 6, 162. https://doi.org/10.3389/fchem.2018.00162</w:t>
      </w:r>
    </w:p>
    <w:p>
      <w:pPr>
        <w:spacing w:after="120"/>
        <w:ind w:left="720" w:hanging="720"/>
        <w:jc w:val="both"/>
      </w:pPr>
      <w:r>
        <w:rPr>
          <w:rFonts w:ascii="Times New Roman" w:cs="Times New Roman" w:eastAsia="Times New Roman" w:hAnsi="Times New Roman"/>
          <w:sz w:val="22"/>
          <w:szCs w:val="22"/>
        </w:rPr>
        <w:t xml:space="preserve">Zhang, O., et al. (2023). ResGen is a pocket-aware 3D molecular generation model based on parallel multiscale modelling. Nature Machine Intelligence, 5, 1020–1030.</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20" w:before="240"/>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pPr>
      <w:spacing w:after="100" w:before="200"/>
      <w:outlineLvl w:val="1"/>
    </w:pPr>
    <w:rPr>
      <w:rFonts w:ascii="Times New Roman" w:cs="Times New Roman" w:eastAsia="Times New Roman" w:hAnsi="Times New Roman"/>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2026-04-20T12:39:35.607Z</dcterms:created>
  <dcterms:modified xsi:type="dcterms:W3CDTF">2026-04-20T12:39:35.608Z</dcterms:modified>
</cp:coreProperties>
</file>

<file path=docProps/custom.xml><?xml version="1.0" encoding="utf-8"?>
<Properties xmlns="http://schemas.openxmlformats.org/officeDocument/2006/custom-properties" xmlns:vt="http://schemas.openxmlformats.org/officeDocument/2006/docPropsVTypes"/>
</file>