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240"/>
              <w:left w:type="dxa" w:w="260"/>
              <w:bottom w:type="dxa" w:w="240"/>
              <w:right w:type="dxa" w:w="260"/>
            </w:tcMar>
          </w:tcPr>
          <w:p>
            <w:pPr>
              <w:spacing w:before="200"/>
              <w:jc w:val="center"/>
            </w:pPr>
            <w:r>
              <w:rPr>
                <w:rFonts w:ascii="Georgia" w:cs="Georgia" w:eastAsia="Georgia" w:hAnsi="Georgia"/>
                <w:b/>
                <w:bCs/>
                <w:color w:val="FFFFFF"/>
                <w:sz w:val="28"/>
                <w:szCs w:val="28"/>
              </w:rPr>
              <w:t xml:space="preserve">MaïeutiCap</w:t>
            </w:r>
          </w:p>
          <w:p>
            <w:pPr>
              <w:jc w:val="center"/>
            </w:pPr>
            <w:r>
              <w:rPr>
                <w:rFonts w:ascii="Georgia" w:cs="Georgia" w:eastAsia="Georgia" w:hAnsi="Georgia"/>
                <w:color w:val="D9A843"/>
                <w:sz w:val="22"/>
                <w:szCs w:val="22"/>
              </w:rPr>
              <w:t xml:space="preserve">Révélateur de Potentiels</w:t>
            </w:r>
          </w:p>
          <w:p>
            <w:pPr>
              <w:spacing w:after="120" w:before="120"/>
              <w:jc w:val="center"/>
            </w:pPr>
            <w:r>
              <w:rPr>
                <w:rFonts w:ascii="Georgia" w:cs="Georgia" w:eastAsia="Georgia" w:hAnsi="Georgia"/>
                <w:color w:val="799BA5"/>
                <w:sz w:val="22"/>
                <w:szCs w:val="22"/>
              </w:rPr>
              <w:t xml:space="preserve">────────────────────────────────────</w:t>
            </w:r>
          </w:p>
          <w:p>
            <w:pPr>
              <w:jc w:val="center"/>
            </w:pPr>
            <w:r>
              <w:rPr>
                <w:rFonts w:ascii="Georgia" w:cs="Georgia" w:eastAsia="Georgia" w:hAnsi="Georgia"/>
                <w:b/>
                <w:bCs/>
                <w:color w:val="D9A843"/>
                <w:sz w:val="22"/>
                <w:szCs w:val="22"/>
              </w:rPr>
              <w:t xml:space="preserve">MANUEL QUALITÉ QUALIOPI</w:t>
            </w:r>
          </w:p>
          <w:p>
            <w:pPr>
              <w:spacing w:before="80"/>
              <w:jc w:val="center"/>
            </w:pPr>
            <w:r>
              <w:rPr>
                <w:rFonts w:ascii="Georgia" w:cs="Georgia" w:eastAsia="Georgia" w:hAnsi="Georgia"/>
                <w:color w:val="799BA5"/>
                <w:sz w:val="28"/>
                <w:szCs w:val="28"/>
              </w:rPr>
              <w:t xml:space="preserve">Bilan de Compétences · Actions de Formation</w:t>
            </w:r>
          </w:p>
          <w:p>
            <w:pPr>
              <w:spacing w:before="160"/>
              <w:jc w:val="center"/>
            </w:pPr>
            <w:r>
              <w:rPr>
                <w:rFonts w:ascii="Georgia" w:cs="Georgia" w:eastAsia="Georgia" w:hAnsi="Georgia"/>
                <w:color w:val="A0B4BE"/>
                <w:sz w:val="28"/>
                <w:szCs w:val="28"/>
              </w:rPr>
              <w:t xml:space="preserve">Version 2026 · Certification obtenue le 09/04/2025</w:t>
            </w:r>
          </w:p>
          <w:p>
            <w:pPr>
              <w:spacing w:before="40"/>
              <w:jc w:val="center"/>
            </w:pPr>
            <w:r>
              <w:rPr>
                <w:rFonts w:ascii="Georgia" w:cs="Georgia" w:eastAsia="Georgia" w:hAnsi="Georgia"/>
                <w:color w:val="A0B4BE"/>
                <w:sz w:val="28"/>
                <w:szCs w:val="28"/>
              </w:rPr>
              <w:t xml:space="preserve">Référentiel National Qualité — Décret n° 2019-565 du 6 juin 2019</w:t>
            </w:r>
          </w:p>
          <w:p>
            <w:pPr>
              <w:spacing w:before="200"/>
              <w:jc w:val="center"/>
            </w:pPr>
            <w:r>
              <w:rPr>
                <w:rFonts w:ascii="Georgia" w:cs="Georgia" w:eastAsia="Georgia" w:hAnsi="Georgia"/>
                <w:color w:val="799BA5"/>
                <w:sz w:val="28"/>
                <w:szCs w:val="28"/>
              </w:rPr>
              <w:t xml:space="preserve">NDA : 93061024406 · SIRET : 92121118100018</w:t>
            </w:r>
          </w:p>
          <w:p>
            <w:pPr>
              <w:jc w:val="center"/>
            </w:pPr>
            <w:r>
              <w:rPr>
                <w:rFonts w:ascii="Georgia" w:cs="Georgia" w:eastAsia="Georgia" w:hAnsi="Georgia"/>
                <w:color w:val="799BA5"/>
                <w:sz w:val="28"/>
                <w:szCs w:val="28"/>
              </w:rPr>
              <w:t xml:space="preserve">11 Rue Gaston Charbonnier · 06300 Nice · contact@maieuticap.fr · 06 76 07 83 70</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Référence document</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MQ-QUAL-01</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Version</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V2026 — Janvier 2026</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Responsable rédaction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Meryem Vitré — Dirigeante &amp; Référente qualité MaïeutiCap</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Date de validation</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Janvier 2026</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Prochaine révision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Janvier 2027 (avant audit de surveillance)</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Diffusion</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Document interne · À présenter lors des audits Qualiopi</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Organisme certificateur</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Bureau Veritas Certification (certification du 09/04/2025)</w:t>
            </w:r>
          </w:p>
        </w:tc>
      </w:tr>
    </w:tbl>
    <w:p>
      <w:r>
        <w:t xml:space="preserve"/>
      </w:r>
    </w:p>
    <w:p>
      <w:pPr>
        <w:pBdr>
          <w:left w:val="single" w:color="D9A843" w:sz="22"/>
        </w:pBdr>
        <w:shd w:fill="F5F4F0" w:val="clear"/>
        <w:spacing w:after="120" w:before="120"/>
      </w:pPr>
      <w:r>
        <w:rPr>
          <w:rFonts w:ascii="Georgia" w:cs="Georgia" w:eastAsia="Georgia" w:hAnsi="Georgia"/>
          <w:color w:val="232E4F"/>
          <w:sz w:val="28"/>
          <w:szCs w:val="28"/>
        </w:rPr>
        <w:t xml:space="preserve">  Ce Manuel Qualité est le document de référence de la démarche qualité de MaïeutiCap. Il décrit notre organisation, nos processus, notre politique qualité et démontre notre conformité aux 32 indicateurs du Référentiel National Qualité (Qualiopi). Il constitue la preuve principale à présenter lors des audits de surveillance et de renouvellement.</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SOMMAIRE</w:t>
            </w:r>
          </w:p>
          <w:p>
            <w:pPr>
              <w:jc w:val="center"/>
            </w:pPr>
            <w:r>
              <w:rPr>
                <w:rFonts w:ascii="Georgia" w:cs="Georgia" w:eastAsia="Georgia" w:hAnsi="Georgia"/>
                <w:color w:val="799BA5"/>
                <w:sz w:val="28"/>
                <w:szCs w:val="28"/>
              </w:rPr>
              <w:t xml:space="preserve">Manuel Qualité MaïeutiCap · V2026</w:t>
            </w:r>
          </w:p>
        </w:tc>
      </w:tr>
    </w:tbl>
    <w:p>
      <w:r>
        <w:t xml:space="preserve"/>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1. Présentation de MaïeutiCap</w:t>
      </w:r>
      <w:r>
        <w:rPr>
          <w:rFonts w:ascii="Georgia" w:cs="Georgia" w:eastAsia="Georgia" w:hAnsi="Georgia"/>
          <w:color w:val="64748B"/>
          <w:sz w:val="22"/>
          <w:szCs w:val="22"/>
        </w:rPr>
        <w:t xml:space="preserve">	3</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2. Politique qualité — Engagement de la direction</w:t>
      </w:r>
      <w:r>
        <w:rPr>
          <w:rFonts w:ascii="Georgia" w:cs="Georgia" w:eastAsia="Georgia" w:hAnsi="Georgia"/>
          <w:color w:val="64748B"/>
          <w:sz w:val="22"/>
          <w:szCs w:val="22"/>
        </w:rPr>
        <w:t xml:space="preserve">	4</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3. Organisation de l'organisme</w:t>
      </w:r>
      <w:r>
        <w:rPr>
          <w:rFonts w:ascii="Georgia" w:cs="Georgia" w:eastAsia="Georgia" w:hAnsi="Georgia"/>
          <w:color w:val="64748B"/>
          <w:sz w:val="22"/>
          <w:szCs w:val="22"/>
        </w:rPr>
        <w:t xml:space="preserve">	5</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4. Offre de formation — Prestations proposées</w:t>
      </w:r>
      <w:r>
        <w:rPr>
          <w:rFonts w:ascii="Georgia" w:cs="Georgia" w:eastAsia="Georgia" w:hAnsi="Georgia"/>
          <w:color w:val="64748B"/>
          <w:sz w:val="22"/>
          <w:szCs w:val="22"/>
        </w:rPr>
        <w:t xml:space="preserve">	6</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5. Cartographie des processus</w:t>
      </w:r>
      <w:r>
        <w:rPr>
          <w:rFonts w:ascii="Georgia" w:cs="Georgia" w:eastAsia="Georgia" w:hAnsi="Georgia"/>
          <w:color w:val="64748B"/>
          <w:sz w:val="22"/>
          <w:szCs w:val="22"/>
        </w:rPr>
        <w:t xml:space="preserve">	7</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6. Conformité au référentiel Qualiopi — 32 indicateurs</w:t>
      </w:r>
      <w:r>
        <w:rPr>
          <w:rFonts w:ascii="Georgia" w:cs="Georgia" w:eastAsia="Georgia" w:hAnsi="Georgia"/>
          <w:color w:val="64748B"/>
          <w:sz w:val="22"/>
          <w:szCs w:val="22"/>
        </w:rPr>
        <w:t xml:space="preserve">	8</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7. Gestion des parties prenantes</w:t>
      </w:r>
      <w:r>
        <w:rPr>
          <w:rFonts w:ascii="Georgia" w:cs="Georgia" w:eastAsia="Georgia" w:hAnsi="Georgia"/>
          <w:color w:val="64748B"/>
          <w:sz w:val="22"/>
          <w:szCs w:val="22"/>
        </w:rPr>
        <w:t xml:space="preserve">	14</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8. Ressources humaines et développement des compétences</w:t>
      </w:r>
      <w:r>
        <w:rPr>
          <w:rFonts w:ascii="Georgia" w:cs="Georgia" w:eastAsia="Georgia" w:hAnsi="Georgia"/>
          <w:color w:val="64748B"/>
          <w:sz w:val="22"/>
          <w:szCs w:val="22"/>
        </w:rPr>
        <w:t xml:space="preserve">	15</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9. Accueil et accompagnement des publics en situation de handicap</w:t>
      </w:r>
      <w:r>
        <w:rPr>
          <w:rFonts w:ascii="Georgia" w:cs="Georgia" w:eastAsia="Georgia" w:hAnsi="Georgia"/>
          <w:color w:val="64748B"/>
          <w:sz w:val="22"/>
          <w:szCs w:val="22"/>
        </w:rPr>
        <w:t xml:space="preserve">	16</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10. Veille stratégique et innovation pédagogique</w:t>
      </w:r>
      <w:r>
        <w:rPr>
          <w:rFonts w:ascii="Georgia" w:cs="Georgia" w:eastAsia="Georgia" w:hAnsi="Georgia"/>
          <w:color w:val="64748B"/>
          <w:sz w:val="22"/>
          <w:szCs w:val="22"/>
        </w:rPr>
        <w:t xml:space="preserve">	17</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11. Amélioration continue et indicateurs de performance</w:t>
      </w:r>
      <w:r>
        <w:rPr>
          <w:rFonts w:ascii="Georgia" w:cs="Georgia" w:eastAsia="Georgia" w:hAnsi="Georgia"/>
          <w:color w:val="64748B"/>
          <w:sz w:val="22"/>
          <w:szCs w:val="22"/>
        </w:rPr>
        <w:t xml:space="preserve">	18</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12. Revue de direction et gouvernance qualité</w:t>
      </w:r>
      <w:r>
        <w:rPr>
          <w:rFonts w:ascii="Georgia" w:cs="Georgia" w:eastAsia="Georgia" w:hAnsi="Georgia"/>
          <w:color w:val="64748B"/>
          <w:sz w:val="22"/>
          <w:szCs w:val="22"/>
        </w:rPr>
        <w:t xml:space="preserve">	19</w:t>
      </w:r>
    </w:p>
    <w:p>
      <w:pPr>
        <w:pBdr>
          <w:bottom w:val="dotted" w:color="CCCCCC" w:sz="2"/>
        </w:pBdr>
        <w:tabs>
          <w:tab w:val="right" w:pos="9438" w:leader="dot"/>
        </w:tabs>
        <w:spacing w:after="0" w:before="80"/>
      </w:pPr>
      <w:r>
        <w:rPr>
          <w:rFonts w:ascii="Georgia" w:cs="Georgia" w:eastAsia="Georgia" w:hAnsi="Georgia"/>
          <w:b/>
          <w:bCs/>
          <w:color w:val="232E4F"/>
          <w:sz w:val="22"/>
          <w:szCs w:val="22"/>
        </w:rPr>
        <w:t xml:space="preserve">13. Annexes — Documents de référence</w:t>
      </w:r>
      <w:r>
        <w:rPr>
          <w:rFonts w:ascii="Georgia" w:cs="Georgia" w:eastAsia="Georgia" w:hAnsi="Georgia"/>
          <w:color w:val="64748B"/>
          <w:sz w:val="22"/>
          <w:szCs w:val="22"/>
        </w:rPr>
        <w:t xml:space="preserve">	20</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1. PRÉSENTATION DE MAÏEUTICAP</w:t>
            </w:r>
          </w:p>
          <w:p>
            <w:pPr>
              <w:jc w:val="center"/>
            </w:pPr>
            <w:r>
              <w:rPr>
                <w:rFonts w:ascii="Georgia" w:cs="Georgia" w:eastAsia="Georgia" w:hAnsi="Georgia"/>
                <w:color w:val="799BA5"/>
                <w:sz w:val="28"/>
                <w:szCs w:val="28"/>
              </w:rPr>
              <w:t xml:space="preserve">Identité, histoire et valeurs de l'organisme</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1.1 Identité de l'organisme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Dénomination sociale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MaïeutiCap</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Nom commercial</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MaïeutiCap — Révélateur de Potentiels</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Forme juridique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Entreprise individuelle (EI)</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Dirigeante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Meryem Vitré</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SIRET</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92121118100018</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Code APE / NAF</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8559B — Autres enseignements</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NDA</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93061024406 (Préfet de région PACA) — Ne vaut pas agrément de l'État</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Adresse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11 Rue Gaston Charbonnier — 06300 Nice</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Contact</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contact@maieuticap.fr · 06 76 07 83 70 · www.maieuticap.fr</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Certification Qualiopi</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BC + Actions de formation — depuis le 09/04/2025 — Organisme : Bureau Veritas</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1.2 Histoire et contexte</w:t>
      </w:r>
    </w:p>
    <w:p>
      <w:pPr>
        <w:spacing w:after="40" w:before="40"/>
      </w:pPr>
      <w:r>
        <w:rPr>
          <w:rFonts w:ascii="Georgia" w:cs="Georgia" w:eastAsia="Georgia" w:hAnsi="Georgia"/>
          <w:color w:val="1E293B"/>
          <w:sz w:val="22"/>
          <w:szCs w:val="22"/>
        </w:rPr>
        <w:t xml:space="preserve">MaïeutiCap a été créé par Meryem Vitré, forte de son parcours de Consultante RH et de Responsable Formation au sein d'organismes de formation et d'entreprises de la région. Le nom "MaïeutiCap" s'inspire de la maïeutique socratique — l'art d'accoucher les idées — et du "cap" comme cap de navigation, direction choisie.</w:t>
      </w:r>
    </w:p>
    <w:p>
      <w:pPr>
        <w:spacing w:after="40" w:before="40"/>
      </w:pPr>
      <w:r>
        <w:rPr>
          <w:rFonts w:ascii="Georgia" w:cs="Georgia" w:eastAsia="Georgia" w:hAnsi="Georgia"/>
          <w:color w:val="1E293B"/>
          <w:sz w:val="22"/>
          <w:szCs w:val="22"/>
        </w:rPr>
        <w:t xml:space="preserve">L'organisme accompagne des salariés, demandeurs d'emploi et indépendants de la région PACA et au-delà dans leur développement professionnel, à travers des bilans de compétences et des formations en Soft Skills.</w:t>
      </w:r>
    </w:p>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1.3 Valeurs et positionnement</w:t>
      </w:r>
    </w:p>
    <w:p>
      <w:pPr>
        <w:pStyle w:val="ListParagraph"/>
        <w:numPr>
          <w:ilvl w:val="0"/>
          <w:numId w:val="2"/>
        </w:numPr>
        <w:spacing w:after="25" w:before="25"/>
      </w:pPr>
      <w:r>
        <w:rPr>
          <w:rFonts w:ascii="Georgia" w:cs="Georgia" w:eastAsia="Georgia" w:hAnsi="Georgia"/>
          <w:b w:val="bold"/>
          <w:bCs w:val="bold"/>
          <w:color w:val="1E293B"/>
          <w:sz w:val="22"/>
          <w:szCs w:val="22"/>
        </w:rPr>
        <w:t xml:space="preserve">Bienveillance : un accompagnement ancré dans le respect et la non-directivité</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Révélateur : faire émerger les ressources, compétences et potentiels présents en chacun</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Excellence pédagogique : méthodes rigoureuses, outils validés, amélioration continue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Confidentialité absolue : cadre déontologique strict, secret professionnel respecté</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Engagement RSE : accessibilité PSH, égalité des chances, ancrage territorial PACA</w:t>
      </w:r>
    </w:p>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1.4 Chiffres clés (exercice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Volume annuel</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 6 bénéficiaires accompagnés (bilans de compétences)</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Satisfaction moyenne (à chaud)</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9,0 / 10 — Taux de satisfaction ≥ 7/10 : 100 %</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Taux d'abandon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0 % (exercice 2025)</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Taux de conformité Qualiopi</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84 % (27/32 indicateurs conformes) — Objectif 2026 : 100 %</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Nombre d'intervenants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1 (Meryem Vitré — consultante BC et formatrice)</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Zone géographique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Principalement PACA — Distanciel possible toute France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2. POLITIQUE QUALITÉ</w:t>
            </w:r>
          </w:p>
          <w:p>
            <w:pPr>
              <w:jc w:val="center"/>
            </w:pPr>
            <w:r>
              <w:rPr>
                <w:rFonts w:ascii="Georgia" w:cs="Georgia" w:eastAsia="Georgia" w:hAnsi="Georgia"/>
                <w:color w:val="799BA5"/>
                <w:sz w:val="28"/>
                <w:szCs w:val="28"/>
              </w:rPr>
              <w:t xml:space="preserve">Engagement de la direction — MaïeutiCap 2026</w:t>
            </w:r>
          </w:p>
        </w:tc>
      </w:tr>
    </w:tbl>
    <w:p>
      <w:r>
        <w:t xml:space="preserve"/>
      </w:r>
    </w:p>
    <w:p>
      <w:pPr>
        <w:pBdr>
          <w:left w:val="single" w:color="18478D" w:sz="22"/>
        </w:pBdr>
        <w:shd w:fill="F5F4F0" w:val="clear"/>
        <w:spacing w:after="120" w:before="120"/>
      </w:pPr>
      <w:r>
        <w:rPr>
          <w:rFonts w:ascii="Georgia" w:cs="Georgia" w:eastAsia="Georgia" w:hAnsi="Georgia"/>
          <w:color w:val="232E4F"/>
          <w:sz w:val="28"/>
          <w:szCs w:val="28"/>
        </w:rPr>
        <w:t xml:space="preserve">  La politique qualité de MaïeutiCap est définie et pilotée personnellement par Meryem Vitré, dirigeante et référente qualité. Elle s'incarne dans chaque interaction avec nos bénéficiaires, financeurs et partenaires.</w:t>
      </w:r>
    </w:p>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2.1 Déclaration de politique qualité</w:t>
      </w:r>
    </w:p>
    <w:p>
      <w:pPr>
        <w:spacing w:after="40" w:before="40"/>
      </w:pPr>
      <w:r>
        <w:rPr>
          <w:rFonts w:ascii="Georgia" w:cs="Georgia" w:eastAsia="Georgia" w:hAnsi="Georgia"/>
          <w:color w:val="1E293B"/>
          <w:sz w:val="22"/>
          <w:szCs w:val="22"/>
        </w:rPr>
        <w:t xml:space="preserve">MaïeutiCap s'engage à :</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1</w:t>
            </w:r>
          </w:p>
        </w:tc>
        <w:tc>
          <w:tcPr>
            <w:tcW w:type="dxa" w:w="8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Placer la satisfaction et le développement du bénéficiaire au cœur de chaque prestation</w:t>
            </w:r>
          </w:p>
        </w:tc>
      </w:tr>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2</w:t>
            </w:r>
          </w:p>
        </w:tc>
        <w:tc>
          <w:tcPr>
            <w:tcW w:type="dxa" w:w="8867"/>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color w:val="1E293B"/>
                <w:sz w:val="28"/>
                <w:szCs w:val="28"/>
              </w:rPr>
              <w:t xml:space="preserve">Garantir la conformité de toutes nos actions au référentiel Qualiopi et aux textes réglementaires (Code du travail, EDOF)</w:t>
            </w:r>
          </w:p>
        </w:tc>
      </w:tr>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3</w:t>
            </w:r>
          </w:p>
        </w:tc>
        <w:tc>
          <w:tcPr>
            <w:tcW w:type="dxa" w:w="8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Proposer des prestations individualisées, adaptées aux besoins spécifiques de chaque bénéficiaire</w:t>
            </w:r>
          </w:p>
        </w:tc>
      </w:tr>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4</w:t>
            </w:r>
          </w:p>
        </w:tc>
        <w:tc>
          <w:tcPr>
            <w:tcW w:type="dxa" w:w="8867"/>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color w:val="1E293B"/>
                <w:sz w:val="28"/>
                <w:szCs w:val="28"/>
              </w:rPr>
              <w:t xml:space="preserve">Maintenir et développer en continu les compétences de la consultante (formation, veille, supervision)</w:t>
            </w:r>
          </w:p>
        </w:tc>
      </w:tr>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5</w:t>
            </w:r>
          </w:p>
        </w:tc>
        <w:tc>
          <w:tcPr>
            <w:tcW w:type="dxa" w:w="8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Accueillir et accompagner les publics en situation de handicap avec les adaptations nécessaires</w:t>
            </w:r>
          </w:p>
        </w:tc>
      </w:tr>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6</w:t>
            </w:r>
          </w:p>
        </w:tc>
        <w:tc>
          <w:tcPr>
            <w:tcW w:type="dxa" w:w="8867"/>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color w:val="1E293B"/>
                <w:sz w:val="28"/>
                <w:szCs w:val="28"/>
              </w:rPr>
              <w:t xml:space="preserve">Recueillir, analyser et exploiter les retours de toutes les parties prenantes pour améliorer nos services</w:t>
            </w:r>
          </w:p>
        </w:tc>
      </w:tr>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7</w:t>
            </w:r>
          </w:p>
        </w:tc>
        <w:tc>
          <w:tcPr>
            <w:tcW w:type="dxa" w:w="8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Traiter toute réclamation avec réactivité, transparence et dans un délai de 30 jours maximum</w:t>
            </w:r>
          </w:p>
        </w:tc>
      </w:tr>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8</w:t>
            </w:r>
          </w:p>
        </w:tc>
        <w:tc>
          <w:tcPr>
            <w:tcW w:type="dxa" w:w="8867"/>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color w:val="1E293B"/>
                <w:sz w:val="28"/>
                <w:szCs w:val="28"/>
              </w:rPr>
              <w:t xml:space="preserve">Réaliser des revues qualité trimestrielles pour piloter nos indicateurs et ajuster nos pratiques</w:t>
            </w:r>
          </w:p>
        </w:tc>
      </w:tr>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9</w:t>
            </w:r>
          </w:p>
        </w:tc>
        <w:tc>
          <w:tcPr>
            <w:tcW w:type="dxa" w:w="8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Contribuer à l'insertion professionnelle et à la formation tout au long de la vie dans la région PACA</w:t>
            </w:r>
          </w:p>
        </w:tc>
      </w:tr>
      <w:tr>
        <w:tc>
          <w:tcPr>
            <w:tcW w:type="dxa" w:w="771"/>
            <w:tcBorders>
              <w:top w:val="single" w:color="CCCCCC" w:sz="1"/>
              <w:left w:val="single" w:color="CCCCCC" w:sz="1"/>
              <w:bottom w:val="single" w:color="CCCCCC" w:sz="1"/>
              <w:right w:val="single" w:color="CCCCCC" w:sz="1"/>
            </w:tcBorders>
            <w:shd w:fill="D9A843" w:val="clear"/>
            <w:tcMar>
              <w:top w:type="dxa" w:w="80"/>
              <w:left w:type="dxa" w:w="60"/>
              <w:bottom w:type="dxa" w:w="80"/>
              <w:right w:type="dxa" w:w="60"/>
            </w:tcMar>
          </w:tcPr>
          <w:p>
            <w:pPr>
              <w:jc w:val="center"/>
            </w:pPr>
            <w:r>
              <w:rPr>
                <w:rFonts w:ascii="Georgia" w:cs="Georgia" w:eastAsia="Georgia" w:hAnsi="Georgia"/>
                <w:b/>
                <w:bCs/>
                <w:color w:val="232E4F"/>
                <w:sz w:val="28"/>
                <w:szCs w:val="28"/>
              </w:rPr>
              <w:t xml:space="preserve">10</w:t>
            </w:r>
          </w:p>
        </w:tc>
        <w:tc>
          <w:tcPr>
            <w:tcW w:type="dxa" w:w="8867"/>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color w:val="1E293B"/>
                <w:sz w:val="28"/>
                <w:szCs w:val="28"/>
              </w:rPr>
              <w:t xml:space="preserve">Maintenir notre certification Qualiopi et viser l'excellence à l'occasion de chaque audit</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2.2 Objectifs qualité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Satisfaction globale moyenne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Maintenir ≥ 9/10 — Objectif : 100 % de satisfaction ≥ 7/10</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Conformité Qualiopi</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Atteindre 100 % (32/32 indicateurs) — Objectif avant audit Janvier 2027</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Taux d'abandon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Maintenir à 0 % — Actions préventives dès le premier signe de décrochage</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Délai de réponse réclamations</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Accusé de réception sous 24h — Traitement sous 30 jours</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Réalisation du plan de dev compétences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100 % des actions PDC 2026 réalisées</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Publication des indicateurs</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Annuelle — Site web et Datadock</w:t>
            </w:r>
          </w:p>
        </w:tc>
      </w:tr>
    </w:tbl>
    <w:p>
      <w:r>
        <w:t xml:space="preserve"/>
      </w:r>
    </w:p>
    <w:p>
      <w:pPr>
        <w:spacing w:after="40" w:before="160"/>
      </w:pPr>
      <w:r>
        <w:rPr>
          <w:rFonts w:ascii="Georgia" w:cs="Georgia" w:eastAsia="Georgia" w:hAnsi="Georgia"/>
          <w:color w:val="232E4F"/>
          <w:sz w:val="22"/>
          <w:szCs w:val="22"/>
        </w:rPr>
        <w:t xml:space="preserve">Fait à Nice, le ......../....../2026</w:t>
      </w:r>
    </w:p>
    <w:p>
      <w:pPr>
        <w:spacing w:before="40"/>
      </w:pPr>
      <w:r>
        <w:rPr>
          <w:rFonts w:ascii="Georgia" w:cs="Georgia" w:eastAsia="Georgia" w:hAnsi="Georgia"/>
          <w:b/>
          <w:bCs/>
          <w:color w:val="232E4F"/>
          <w:sz w:val="22"/>
          <w:szCs w:val="22"/>
        </w:rPr>
        <w:t xml:space="preserve">Meryem Vitré — Dirigeante de MaïeutiCap — Référente Qualité &amp; Handicap</w:t>
      </w:r>
    </w:p>
    <w:p>
      <w:pPr>
        <w:pBdr>
          <w:bottom w:val="single" w:color="799BA5" w:sz="4"/>
        </w:pBdr>
        <w:spacing w:before="200"/>
      </w:pPr>
      <w:r>
        <w:rPr>
          <w:rFonts w:ascii="Georgia" w:cs="Georgia" w:eastAsia="Georgia" w:hAnsi="Georgia"/>
          <w:color w:val="1E293B"/>
          <w:sz w:val="22"/>
          <w:szCs w:val="22"/>
        </w:rPr>
        <w:t xml:space="preserve">Signature :</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3. ORGANISATION DE L'ORGANISME</w:t>
            </w:r>
          </w:p>
          <w:p>
            <w:pPr>
              <w:jc w:val="center"/>
            </w:pPr>
            <w:r>
              <w:rPr>
                <w:rFonts w:ascii="Georgia" w:cs="Georgia" w:eastAsia="Georgia" w:hAnsi="Georgia"/>
                <w:color w:val="799BA5"/>
                <w:sz w:val="28"/>
                <w:szCs w:val="28"/>
              </w:rPr>
              <w:t xml:space="preserve">Structure, gouvernance et organigramme</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3.1 Structure organisationnelle</w:t>
      </w:r>
    </w:p>
    <w:p>
      <w:pPr>
        <w:spacing w:after="40" w:before="40"/>
      </w:pPr>
      <w:r>
        <w:rPr>
          <w:rFonts w:ascii="Georgia" w:cs="Georgia" w:eastAsia="Georgia" w:hAnsi="Georgia"/>
          <w:color w:val="1E293B"/>
          <w:sz w:val="22"/>
          <w:szCs w:val="22"/>
        </w:rPr>
        <w:t xml:space="preserve">MaïeutiCap est une structure mono-opérateur. Meryem Vitré cumule les fonctions de dirigeante, consultante, formatrice, référente qualité et référente handicap. Cette organisation permet une cohérence maximale entre la vision stratégique et la réalité du terrain.</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Dirigeante &amp; Référente qualité</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Meryem Vitré — Pilotage stratégique, qualité, partenariats</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Consultante BC</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Meryem Vitré — Réalisation des bilans de compétences (3 phases réglementaires)</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Formatrice Soft Skills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Meryem Vitré — Conception et animation des formations</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Référente handicap (PSH)</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Meryem Vitré — Accueil, adaptation, réseau partenaires PSH</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Intervenants sous-traitants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Ponctuels selon volume — encadrés par Charte Qualiopi (CHARTE-ST-01)</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3.2 Fonctions externalisées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Comptabilité : Expert-comptable indépendant</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Juridique : Consultation ponctuelle selon besoins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Sous-traitants pédagogiques : Conformément à la Charte Qualiopi (CHARTE-ST-01)</w:t>
      </w:r>
    </w:p>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3.3 Partenariats institutionnels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Prescripteurs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France Travail (Pôle Emploi), OPCO territoriaux (ATLAS, UNIFORMATION...), CPF</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Partenaires PSH</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Cap Emploi PACA, AGEFIPH, MDPH Alpes-Maritimes</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Partenaires formation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Réseaux professionnels consultants BC, clubs formateurs PACA</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Veille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Feedly, LinkedIn, Formalerte, Digiformag, France Compétences, Ministère du Travail</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4. OFFRE DE FORMATION</w:t>
            </w:r>
          </w:p>
          <w:p>
            <w:pPr>
              <w:jc w:val="center"/>
            </w:pPr>
            <w:r>
              <w:rPr>
                <w:rFonts w:ascii="Georgia" w:cs="Georgia" w:eastAsia="Georgia" w:hAnsi="Georgia"/>
                <w:color w:val="799BA5"/>
                <w:sz w:val="28"/>
                <w:szCs w:val="28"/>
              </w:rPr>
              <w:t xml:space="preserve">Prestations proposées — Conformité EDOF et Qualiopi</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4.1 Bilan de Compétences — Fiche synthétique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Intitulé EDOF</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Bilan de Compétences — Révélateur de Potentiels</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Base légale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Art. L.6313-4 et R.6313-4 du Code du travail</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Public cible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Tout actif : salarié, demandeur d'emploi, indépendant, fonctionnaire</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Prérequis</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Aucun — Maîtrise suffisante du français</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Durée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24 heures (16h accompagnement + 8h travail personnel)</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Format</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100% individuel — Présentiel / Distanciel / Mixte</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3 phases réglementaires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Phase préliminaire (4h) · Phase d'investigation (14h) · Phase de conclusion (6h)</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Outils utilisés</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RIASEC, Test des Valeurs Schwartz, Entretien socratique, Livret accompagnement</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Financements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CPF (Mon Compte Formation), OPCO, France Travail, plan de formation</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Prix</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1 800 € HT / 2 160 € TTC</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Document remis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Synthèse confidentielle + Plan d'action + Entretien de suivi à 6 mois</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4.2 Formation Soft Skills — Fiche synthétique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Intitulé</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Développer ses Soft Skills pour réussir professionnellement</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Base légale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Art. L.6313-1 du Code du travail — Action de formation</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Public cible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Tout professionnel : salarié, manager, demandeur d'emploi</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Durée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8h (1 journée) ou 16h (2 journées) — Format inter et intra-entreprise</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5 modules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Introduction (1h) · Diagnostic (1h30) · Communication (2h) · IE (1h30) · Plan d'action (2h)</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Modalités pédagogiques</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60% pratique / 40% théorie · Mises en situation · Learning by doing</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Évaluation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Questionnaire initial + Quiz formative + Plan d'action individuel final</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Attestation</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Attestation d'assiduité et de formation remise en fin de parcours</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Financements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Plan de formation OPCO, CPF si éligible, financement personnel</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Prix</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450 € HT/j/pers (inter) — Sur devis (intra)</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6. CONFORMITÉ AU RÉFÉRENTIEL QUALIOPI</w:t>
            </w:r>
          </w:p>
          <w:p>
            <w:pPr>
              <w:jc w:val="center"/>
            </w:pPr>
            <w:r>
              <w:rPr>
                <w:rFonts w:ascii="Georgia" w:cs="Georgia" w:eastAsia="Georgia" w:hAnsi="Georgia"/>
                <w:color w:val="799BA5"/>
                <w:sz w:val="28"/>
                <w:szCs w:val="28"/>
              </w:rPr>
              <w:t xml:space="preserve">7 critères · 32 indicateurs · État au 01/01/2026</w:t>
            </w:r>
          </w:p>
        </w:tc>
      </w:tr>
    </w:tbl>
    <w:p>
      <w:r>
        <w:t xml:space="preserve"/>
      </w:r>
    </w:p>
    <w:p>
      <w:pPr>
        <w:pBdr>
          <w:left w:val="single" w:color="D9A843" w:sz="22"/>
        </w:pBdr>
        <w:shd w:fill="F5F4F0" w:val="clear"/>
        <w:spacing w:after="120" w:before="120"/>
      </w:pPr>
      <w:r>
        <w:rPr>
          <w:rFonts w:ascii="Georgia" w:cs="Georgia" w:eastAsia="Georgia" w:hAnsi="Georgia"/>
          <w:color w:val="232E4F"/>
          <w:sz w:val="28"/>
          <w:szCs w:val="28"/>
        </w:rPr>
        <w:t xml:space="preserve">  Légende — CONFORME ✓ : Preuve(s) documentaire(s) existante(s) et vérifiable(s) · EN COURS ⟳ : En cours de déploiement, action corrective planifiée · À TRAITER ✗ : Non mis en place — Action urgente requise</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470"/>
        <w:gridCol w:w="4144"/>
        <w:gridCol w:w="1446"/>
      </w:tblGrid>
      <w:tr>
        <w:trPr>
          <w:tblHeader/>
        </w:trPr>
        <w:tc>
          <w:tcPr>
            <w:tcW w:type="dxa" w:w="578"/>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Réf.</w:t>
            </w:r>
          </w:p>
        </w:tc>
        <w:tc>
          <w:tcPr>
            <w:tcW w:type="dxa" w:w="3470"/>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Critère / Indicateur</w:t>
            </w:r>
          </w:p>
        </w:tc>
        <w:tc>
          <w:tcPr>
            <w:tcW w:type="dxa" w:w="4144"/>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Preuves documentaires</w:t>
            </w:r>
          </w:p>
        </w:tc>
        <w:tc>
          <w:tcPr>
            <w:tcW w:type="dxa" w:w="1446"/>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Statut 2026</w:t>
            </w:r>
          </w:p>
        </w:tc>
      </w:tr>
      <w:tr>
        <w:tc>
          <w:tcPr>
            <w:tcW w:type="dxa" w:w="9638"/>
            <w:gridSpan w:val="4"/>
            <w:tcBorders>
              <w:top w:val="single" w:color="CCCCCC" w:sz="1"/>
              <w:left w:val="single" w:color="CCCCCC" w:sz="1"/>
              <w:bottom w:val="single" w:color="CCCCCC" w:sz="1"/>
              <w:right w:val="single" w:color="CCCCCC" w:sz="1"/>
            </w:tcBorders>
            <w:shd w:fill="18478D" w:val="clear"/>
            <w:tcMar>
              <w:top w:type="dxa" w:w="80"/>
              <w:left w:type="dxa" w:w="120"/>
              <w:bottom w:type="dxa" w:w="80"/>
              <w:right w:type="dxa" w:w="80"/>
            </w:tcMar>
          </w:tcPr>
          <w:p>
            <w:r>
              <w:rPr>
                <w:rFonts w:ascii="Georgia" w:cs="Georgia" w:eastAsia="Georgia" w:hAnsi="Georgia"/>
                <w:b/>
                <w:bCs/>
                <w:color w:val="FFFFFF"/>
                <w:sz w:val="28"/>
                <w:szCs w:val="28"/>
              </w:rPr>
              <w:t xml:space="preserve">CRITÈRE 1 — INFORMATION DU PUBLIC</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18478D"/>
                <w:sz w:val="28"/>
                <w:szCs w:val="28"/>
              </w:rPr>
              <w:t xml:space="preserve">I1</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Offre de formation publiée (conditions, délais, tarifs, financements, résultats)</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Site web, plaquettes, Livret accueil BC, Datadock</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18478D"/>
                <w:sz w:val="28"/>
                <w:szCs w:val="28"/>
              </w:rPr>
              <w:t xml:space="preserve">I2</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Accessibilité PSH mentionnée dans l'offre de formation</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Questionnaire PSH, Adaptations handicap V2026, Référente désignée</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18478D"/>
                <w:sz w:val="28"/>
                <w:szCs w:val="28"/>
              </w:rPr>
              <w:t xml:space="preserve">I3</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Indicateurs et méthodes de résultats communiqués</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Tableau de bord Qualiopi, publication indicateurs satisfaction</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9638"/>
            <w:gridSpan w:val="4"/>
            <w:tcBorders>
              <w:top w:val="single" w:color="CCCCCC" w:sz="1"/>
              <w:left w:val="single" w:color="CCCCCC" w:sz="1"/>
              <w:bottom w:val="single" w:color="CCCCCC" w:sz="1"/>
              <w:right w:val="single" w:color="CCCCCC" w:sz="1"/>
            </w:tcBorders>
            <w:shd w:fill="D9A843" w:val="clear"/>
            <w:tcMar>
              <w:top w:type="dxa" w:w="80"/>
              <w:left w:type="dxa" w:w="120"/>
              <w:bottom w:type="dxa" w:w="80"/>
              <w:right w:type="dxa" w:w="80"/>
            </w:tcMar>
          </w:tcPr>
          <w:p>
            <w:r>
              <w:rPr>
                <w:rFonts w:ascii="Georgia" w:cs="Georgia" w:eastAsia="Georgia" w:hAnsi="Georgia"/>
                <w:b/>
                <w:bCs/>
                <w:color w:val="FFFFFF"/>
                <w:sz w:val="28"/>
                <w:szCs w:val="28"/>
              </w:rPr>
              <w:t xml:space="preserve">CRITÈRE 2 — IDENTIFICATION ET ANALYSE DES BESOINS</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D9A843"/>
                <w:sz w:val="28"/>
                <w:szCs w:val="28"/>
              </w:rPr>
              <w:t xml:space="preserve">I4</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Analyse des besoins du bénéficiaire réalisée avant la prestation</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Guide entretien préalable V2026, Grille analyse besoins</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D9A843"/>
                <w:sz w:val="28"/>
                <w:szCs w:val="28"/>
              </w:rPr>
              <w:t xml:space="preserve">I5</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Objectifs et contenus en cohérence avec les besoins identifiés</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Programmes BC V2026 EDOF, Soft Skills V2026 EDOF</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D9A843"/>
                <w:sz w:val="28"/>
                <w:szCs w:val="28"/>
              </w:rPr>
              <w:t xml:space="preserve">I6</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Progression pédagogique individualisée</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Fiche suivi formation BC, Déroulé pédagogique, Livret accompagnement</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D9A843"/>
                <w:sz w:val="28"/>
                <w:szCs w:val="28"/>
              </w:rPr>
              <w:t xml:space="preserve">I7</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Besoins des entreprises / commanditaires identifiés</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Analyse besoins commanditaire, Convention de formation V2026</w:t>
            </w:r>
          </w:p>
        </w:tc>
        <w:tc>
          <w:tcPr>
            <w:tcW w:type="dxa" w:w="1446"/>
            <w:tcBorders>
              <w:top w:val="single" w:color="CCCCCC" w:sz="1"/>
              <w:left w:val="single" w:color="CCCCCC" w:sz="1"/>
              <w:bottom w:val="single" w:color="CCCCCC" w:sz="1"/>
              <w:right w:val="single" w:color="CCCCCC" w:sz="1"/>
            </w:tcBorders>
            <w:shd w:fill="FEF3C7" w:val="clear"/>
            <w:tcMar>
              <w:top w:type="dxa" w:w="80"/>
              <w:left w:type="dxa" w:w="60"/>
              <w:bottom w:type="dxa" w:w="80"/>
              <w:right w:type="dxa" w:w="60"/>
            </w:tcMar>
          </w:tcPr>
          <w:p>
            <w:pPr>
              <w:jc w:val="center"/>
            </w:pPr>
            <w:r>
              <w:rPr>
                <w:rFonts w:ascii="Georgia" w:cs="Georgia" w:eastAsia="Georgia" w:hAnsi="Georgia"/>
                <w:b/>
                <w:bCs/>
                <w:color w:val="92400E"/>
                <w:sz w:val="28"/>
                <w:szCs w:val="28"/>
              </w:rPr>
              <w:t xml:space="preserve">⟳ EN COURS</w:t>
            </w:r>
          </w:p>
        </w:tc>
      </w:tr>
      <w:tr>
        <w:tc>
          <w:tcPr>
            <w:tcW w:type="dxa" w:w="9638"/>
            <w:gridSpan w:val="4"/>
            <w:tcBorders>
              <w:top w:val="single" w:color="CCCCCC" w:sz="1"/>
              <w:left w:val="single" w:color="CCCCCC" w:sz="1"/>
              <w:bottom w:val="single" w:color="CCCCCC" w:sz="1"/>
              <w:right w:val="single" w:color="CCCCCC" w:sz="1"/>
            </w:tcBorders>
            <w:shd w:fill="515276" w:val="clear"/>
            <w:tcMar>
              <w:top w:type="dxa" w:w="80"/>
              <w:left w:type="dxa" w:w="120"/>
              <w:bottom w:type="dxa" w:w="80"/>
              <w:right w:type="dxa" w:w="80"/>
            </w:tcMar>
          </w:tcPr>
          <w:p>
            <w:r>
              <w:rPr>
                <w:rFonts w:ascii="Georgia" w:cs="Georgia" w:eastAsia="Georgia" w:hAnsi="Georgia"/>
                <w:b/>
                <w:bCs/>
                <w:color w:val="FFFFFF"/>
                <w:sz w:val="28"/>
                <w:szCs w:val="28"/>
              </w:rPr>
              <w:t xml:space="preserve">CRITÈRE 3 — ADAPTATION DES PRESTATIONS</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515276"/>
                <w:sz w:val="28"/>
                <w:szCs w:val="28"/>
              </w:rPr>
              <w:t xml:space="preserve">I8</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Moyens pédagogiques, techniques et humains adaptés</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Programmes, outils numériques (Teams, Digiforma)</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515276"/>
                <w:sz w:val="28"/>
                <w:szCs w:val="28"/>
              </w:rPr>
              <w:t xml:space="preserve">I9</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Évaluations des acquis réalisées pendant la prestation</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Grille évaluation BC V2026, Éval initiale Soft Skills V2026</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515276"/>
                <w:sz w:val="28"/>
                <w:szCs w:val="28"/>
              </w:rPr>
              <w:t xml:space="preserve">I10</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Évaluation réalisée en fin de prestation</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Grille évaluation BC V2026, Éval finale Soft Skills V2026</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515276"/>
                <w:sz w:val="28"/>
                <w:szCs w:val="28"/>
              </w:rPr>
              <w:t xml:space="preserve">I11</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Bénéficiaire informé des résultats et des suites possibles</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Document de synthèse BC, Attestation de formation</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515276"/>
                <w:sz w:val="28"/>
                <w:szCs w:val="28"/>
              </w:rPr>
              <w:t xml:space="preserve">I12</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Accueil, accompagnement, suivi adaptés aux PSH</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Adaptations handicap V2026, Carnet liaison PSH, Référente handicap</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9638"/>
            <w:gridSpan w:val="4"/>
            <w:tcBorders>
              <w:top w:val="single" w:color="CCCCCC" w:sz="1"/>
              <w:left w:val="single" w:color="CCCCCC" w:sz="1"/>
              <w:bottom w:val="single" w:color="CCCCCC" w:sz="1"/>
              <w:right w:val="single" w:color="CCCCCC" w:sz="1"/>
            </w:tcBorders>
            <w:shd w:fill="799BA5" w:val="clear"/>
            <w:tcMar>
              <w:top w:type="dxa" w:w="80"/>
              <w:left w:type="dxa" w:w="120"/>
              <w:bottom w:type="dxa" w:w="80"/>
              <w:right w:type="dxa" w:w="80"/>
            </w:tcMar>
          </w:tcPr>
          <w:p>
            <w:r>
              <w:rPr>
                <w:rFonts w:ascii="Georgia" w:cs="Georgia" w:eastAsia="Georgia" w:hAnsi="Georgia"/>
                <w:b/>
                <w:bCs/>
                <w:color w:val="FFFFFF"/>
                <w:sz w:val="28"/>
                <w:szCs w:val="28"/>
              </w:rPr>
              <w:t xml:space="preserve">CRITÈRE 4 — MOYENS PÉDAGOGIQUES ET TECHNIQUES</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799BA5"/>
                <w:sz w:val="28"/>
                <w:szCs w:val="28"/>
              </w:rPr>
              <w:t xml:space="preserve">I13</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Progression pédagogique mise en œuvre conformément aux engagements</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Feuilles d'émargement V2026, Fiche suivi formation V2026</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799BA5"/>
                <w:sz w:val="28"/>
                <w:szCs w:val="28"/>
              </w:rPr>
              <w:t xml:space="preserve">I14</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Outils et pratiques pédagogiques adaptés</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Supports pédagogiques Soft Skills, Livret accompagnement BC, Tests RIASEC/Schwartz</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799BA5"/>
                <w:sz w:val="28"/>
                <w:szCs w:val="28"/>
              </w:rPr>
              <w:t xml:space="preserve">I15</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Formateurs qualifiés (titres, diplômes, compétences)</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CV Meryem Vitré, Fiche de poste multi-missions V2026, Diplômes et certifications</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799BA5"/>
                <w:sz w:val="28"/>
                <w:szCs w:val="28"/>
              </w:rPr>
              <w:t xml:space="preserve">I16</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Coordination pédagogique assurée</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Charte sous-traitant V2026, Contrat sous-traitance, Cartographie processus V2026</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9638"/>
            <w:gridSpan w:val="4"/>
            <w:tcBorders>
              <w:top w:val="single" w:color="CCCCCC" w:sz="1"/>
              <w:left w:val="single" w:color="CCCCCC" w:sz="1"/>
              <w:bottom w:val="single" w:color="CCCCCC" w:sz="1"/>
              <w:right w:val="single" w:color="CCCCCC" w:sz="1"/>
            </w:tcBorders>
            <w:shd w:fill="7C3AED" w:val="clear"/>
            <w:tcMar>
              <w:top w:type="dxa" w:w="80"/>
              <w:left w:type="dxa" w:w="120"/>
              <w:bottom w:type="dxa" w:w="80"/>
              <w:right w:type="dxa" w:w="80"/>
            </w:tcMar>
          </w:tcPr>
          <w:p>
            <w:r>
              <w:rPr>
                <w:rFonts w:ascii="Georgia" w:cs="Georgia" w:eastAsia="Georgia" w:hAnsi="Georgia"/>
                <w:b/>
                <w:bCs/>
                <w:color w:val="FFFFFF"/>
                <w:sz w:val="28"/>
                <w:szCs w:val="28"/>
              </w:rPr>
              <w:t xml:space="preserve">CRITÈRE 5 — QUALIFICATION ET DÉVELOPPEMENT DES COMPÉTENCES</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7C3AED"/>
                <w:sz w:val="28"/>
                <w:szCs w:val="28"/>
              </w:rPr>
              <w:t xml:space="preserve">I17</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Veille légale et réglementaire</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Procédure veille stratégique, Tableau veille Feedly/LinkedIn</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7C3AED"/>
                <w:sz w:val="28"/>
                <w:szCs w:val="28"/>
              </w:rPr>
              <w:t xml:space="preserve">I18</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Veille innovations pédagogiques et technologiques</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Tableau veille innovation, Participation clubs formateurs</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7C3AED"/>
                <w:sz w:val="28"/>
                <w:szCs w:val="28"/>
              </w:rPr>
              <w:t xml:space="preserve">I19</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Compétences des intervenants évaluées régulièrement</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Grille évaluation formateur V2026, Auto-évaluation annuelle</w:t>
            </w:r>
          </w:p>
        </w:tc>
        <w:tc>
          <w:tcPr>
            <w:tcW w:type="dxa" w:w="1446"/>
            <w:tcBorders>
              <w:top w:val="single" w:color="CCCCCC" w:sz="1"/>
              <w:left w:val="single" w:color="CCCCCC" w:sz="1"/>
              <w:bottom w:val="single" w:color="CCCCCC" w:sz="1"/>
              <w:right w:val="single" w:color="CCCCCC" w:sz="1"/>
            </w:tcBorders>
            <w:shd w:fill="FEF3C7" w:val="clear"/>
            <w:tcMar>
              <w:top w:type="dxa" w:w="80"/>
              <w:left w:type="dxa" w:w="60"/>
              <w:bottom w:type="dxa" w:w="80"/>
              <w:right w:type="dxa" w:w="60"/>
            </w:tcMar>
          </w:tcPr>
          <w:p>
            <w:pPr>
              <w:jc w:val="center"/>
            </w:pPr>
            <w:r>
              <w:rPr>
                <w:rFonts w:ascii="Georgia" w:cs="Georgia" w:eastAsia="Georgia" w:hAnsi="Georgia"/>
                <w:b/>
                <w:bCs/>
                <w:color w:val="92400E"/>
                <w:sz w:val="28"/>
                <w:szCs w:val="28"/>
              </w:rPr>
              <w:t xml:space="preserve">⟳ EN COURS</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7C3AED"/>
                <w:sz w:val="28"/>
                <w:szCs w:val="28"/>
              </w:rPr>
              <w:t xml:space="preserve">I20</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Mesures pour maintien et développement des compétences</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Plan développement compétences 2026, Formations suivies</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7C3AED"/>
                <w:sz w:val="28"/>
                <w:szCs w:val="28"/>
              </w:rPr>
              <w:t xml:space="preserve">I21</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Ressources pour intégration de nouveaux intervenants</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Charte sous-traitant V2026, Procédures qualité transmises</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9638"/>
            <w:gridSpan w:val="4"/>
            <w:tcBorders>
              <w:top w:val="single" w:color="CCCCCC" w:sz="1"/>
              <w:left w:val="single" w:color="CCCCCC" w:sz="1"/>
              <w:bottom w:val="single" w:color="CCCCCC" w:sz="1"/>
              <w:right w:val="single" w:color="CCCCCC" w:sz="1"/>
            </w:tcBorders>
            <w:shd w:fill="059669" w:val="clear"/>
            <w:tcMar>
              <w:top w:type="dxa" w:w="80"/>
              <w:left w:type="dxa" w:w="120"/>
              <w:bottom w:type="dxa" w:w="80"/>
              <w:right w:type="dxa" w:w="80"/>
            </w:tcMar>
          </w:tcPr>
          <w:p>
            <w:r>
              <w:rPr>
                <w:rFonts w:ascii="Georgia" w:cs="Georgia" w:eastAsia="Georgia" w:hAnsi="Georgia"/>
                <w:b/>
                <w:bCs/>
                <w:color w:val="FFFFFF"/>
                <w:sz w:val="28"/>
                <w:szCs w:val="28"/>
              </w:rPr>
              <w:t xml:space="preserve">CRITÈRE 6 — INSCRIPTION DANS L'ENVIRONNEMENT PROFESSIONNEL</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059669"/>
                <w:sz w:val="28"/>
                <w:szCs w:val="28"/>
              </w:rPr>
              <w:t xml:space="preserve">I22</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Insertion dans l'environnement socio-économique local</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Partenariats en cours PACA, Réseau prescripteurs</w:t>
            </w:r>
          </w:p>
        </w:tc>
        <w:tc>
          <w:tcPr>
            <w:tcW w:type="dxa" w:w="1446"/>
            <w:tcBorders>
              <w:top w:val="single" w:color="CCCCCC" w:sz="1"/>
              <w:left w:val="single" w:color="CCCCCC" w:sz="1"/>
              <w:bottom w:val="single" w:color="CCCCCC" w:sz="1"/>
              <w:right w:val="single" w:color="CCCCCC" w:sz="1"/>
            </w:tcBorders>
            <w:shd w:fill="FEF3C7" w:val="clear"/>
            <w:tcMar>
              <w:top w:type="dxa" w:w="80"/>
              <w:left w:type="dxa" w:w="60"/>
              <w:bottom w:type="dxa" w:w="80"/>
              <w:right w:type="dxa" w:w="60"/>
            </w:tcMar>
          </w:tcPr>
          <w:p>
            <w:pPr>
              <w:jc w:val="center"/>
            </w:pPr>
            <w:r>
              <w:rPr>
                <w:rFonts w:ascii="Georgia" w:cs="Georgia" w:eastAsia="Georgia" w:hAnsi="Georgia"/>
                <w:b/>
                <w:bCs/>
                <w:color w:val="92400E"/>
                <w:sz w:val="28"/>
                <w:szCs w:val="28"/>
              </w:rPr>
              <w:t xml:space="preserve">⟳ EN COURS</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059669"/>
                <w:sz w:val="28"/>
                <w:szCs w:val="28"/>
              </w:rPr>
              <w:t xml:space="preserve">I23</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Mobilisation des expertises PSH</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Questionnaire PSH, Attestation formation handicap AFDAS, Réseau Cap Emploi</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059669"/>
                <w:sz w:val="28"/>
                <w:szCs w:val="28"/>
              </w:rPr>
              <w:t xml:space="preserve">I24</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Partenariats socio-économiques pour FEST et accueil en entreprise</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Conventions partenariats à finaliser, Grilles visite entreprise</w:t>
            </w:r>
          </w:p>
        </w:tc>
        <w:tc>
          <w:tcPr>
            <w:tcW w:type="dxa" w:w="1446"/>
            <w:tcBorders>
              <w:top w:val="single" w:color="CCCCCC" w:sz="1"/>
              <w:left w:val="single" w:color="CCCCCC" w:sz="1"/>
              <w:bottom w:val="single" w:color="CCCCCC" w:sz="1"/>
              <w:right w:val="single" w:color="CCCCCC" w:sz="1"/>
            </w:tcBorders>
            <w:shd w:fill="FEF3C7" w:val="clear"/>
            <w:tcMar>
              <w:top w:type="dxa" w:w="80"/>
              <w:left w:type="dxa" w:w="60"/>
              <w:bottom w:type="dxa" w:w="80"/>
              <w:right w:type="dxa" w:w="60"/>
            </w:tcMar>
          </w:tcPr>
          <w:p>
            <w:pPr>
              <w:jc w:val="center"/>
            </w:pPr>
            <w:r>
              <w:rPr>
                <w:rFonts w:ascii="Georgia" w:cs="Georgia" w:eastAsia="Georgia" w:hAnsi="Georgia"/>
                <w:b/>
                <w:bCs/>
                <w:color w:val="92400E"/>
                <w:sz w:val="28"/>
                <w:szCs w:val="28"/>
              </w:rPr>
              <w:t xml:space="preserve">⟳ EN COURS</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059669"/>
                <w:sz w:val="28"/>
                <w:szCs w:val="28"/>
              </w:rPr>
              <w:t xml:space="preserve">I25</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Lutte contre l'illettrisme intégrée</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Évaluation initiale Soft Skills, Adaptations pédagogiques individualisées</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9638"/>
            <w:gridSpan w:val="4"/>
            <w:tcBorders>
              <w:top w:val="single" w:color="CCCCCC" w:sz="1"/>
              <w:left w:val="single" w:color="CCCCCC" w:sz="1"/>
              <w:bottom w:val="single" w:color="CCCCCC" w:sz="1"/>
              <w:right w:val="single" w:color="CCCCCC" w:sz="1"/>
            </w:tcBorders>
            <w:shd w:fill="DC2626" w:val="clear"/>
            <w:tcMar>
              <w:top w:type="dxa" w:w="80"/>
              <w:left w:type="dxa" w:w="120"/>
              <w:bottom w:type="dxa" w:w="80"/>
              <w:right w:type="dxa" w:w="80"/>
            </w:tcMar>
          </w:tcPr>
          <w:p>
            <w:r>
              <w:rPr>
                <w:rFonts w:ascii="Georgia" w:cs="Georgia" w:eastAsia="Georgia" w:hAnsi="Georgia"/>
                <w:b/>
                <w:bCs/>
                <w:color w:val="FFFFFF"/>
                <w:sz w:val="28"/>
                <w:szCs w:val="28"/>
              </w:rPr>
              <w:t xml:space="preserve">CRITÈRE 7 — AMÉLIORATION CONTINUE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DC2626"/>
                <w:sz w:val="28"/>
                <w:szCs w:val="28"/>
              </w:rPr>
              <w:t xml:space="preserve">I26</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Appréciations des bénéficiaires recueillies</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Quest. satisfaction V2026 (à chaud), Quest. à froid M+6 V2026</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DC2626"/>
                <w:sz w:val="28"/>
                <w:szCs w:val="28"/>
              </w:rPr>
              <w:t xml:space="preserve">I27</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Appréciations des financeurs et commanditaires recueillies</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Quest. satisfaction financeurs V2026, Quest. commanditaire V2026</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DC2626"/>
                <w:sz w:val="28"/>
                <w:szCs w:val="28"/>
              </w:rPr>
              <w:t xml:space="preserve">I28</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Appréciations des équipes pédagogiques recueillies</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Grille évaluation formateur V2026 (auto-évaluation)</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DC2626"/>
                <w:sz w:val="28"/>
                <w:szCs w:val="28"/>
              </w:rPr>
              <w:t xml:space="preserve">I29</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Analyse des appréciations et mise en œuvre d'améliorations</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Tableau actions amélioration V2026, Revues qualité trimestrielles</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DC2626"/>
                <w:sz w:val="28"/>
                <w:szCs w:val="28"/>
              </w:rPr>
              <w:t xml:space="preserve">I30</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Réclamations et aléas traités dans un registre dédié</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Tableau suivi réclamations V2026, Registre incidents V2026, Fiche réclamation</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60"/>
              <w:bottom w:type="dxa" w:w="80"/>
              <w:right w:type="dxa" w:w="60"/>
            </w:tcMar>
          </w:tcPr>
          <w:p>
            <w:pPr>
              <w:jc w:val="center"/>
            </w:pPr>
            <w:r>
              <w:rPr>
                <w:rFonts w:ascii="Georgia" w:cs="Georgia" w:eastAsia="Georgia" w:hAnsi="Georgia"/>
                <w:b/>
                <w:bCs/>
                <w:color w:val="DC2626"/>
                <w:sz w:val="28"/>
                <w:szCs w:val="28"/>
              </w:rPr>
              <w:t xml:space="preserve">I31</w:t>
            </w:r>
          </w:p>
        </w:tc>
        <w:tc>
          <w:tcPr>
            <w:tcW w:type="dxa" w:w="347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1E293B"/>
                <w:sz w:val="28"/>
                <w:szCs w:val="28"/>
              </w:rPr>
              <w:t xml:space="preserve">Auto-évaluation périodique réalisée</w:t>
            </w:r>
          </w:p>
        </w:tc>
        <w:tc>
          <w:tcPr>
            <w:tcW w:type="dxa" w:w="414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color w:val="64748B"/>
                <w:sz w:val="28"/>
                <w:szCs w:val="28"/>
              </w:rPr>
              <w:t xml:space="preserve">Revues qualité trimestrielles, Grille auto-évaluation Qualiopi (ce document)</w:t>
            </w:r>
          </w:p>
        </w:tc>
        <w:tc>
          <w:tcPr>
            <w:tcW w:type="dxa" w:w="1446"/>
            <w:tcBorders>
              <w:top w:val="single" w:color="CCCCCC" w:sz="1"/>
              <w:left w:val="single" w:color="CCCCCC" w:sz="1"/>
              <w:bottom w:val="single" w:color="CCCCCC" w:sz="1"/>
              <w:right w:val="single" w:color="CCCCCC" w:sz="1"/>
            </w:tcBorders>
            <w:shd w:fill="FEF3C7" w:val="clear"/>
            <w:tcMar>
              <w:top w:type="dxa" w:w="80"/>
              <w:left w:type="dxa" w:w="60"/>
              <w:bottom w:type="dxa" w:w="80"/>
              <w:right w:type="dxa" w:w="60"/>
            </w:tcMar>
          </w:tcPr>
          <w:p>
            <w:pPr>
              <w:jc w:val="center"/>
            </w:pPr>
            <w:r>
              <w:rPr>
                <w:rFonts w:ascii="Georgia" w:cs="Georgia" w:eastAsia="Georgia" w:hAnsi="Georgia"/>
                <w:b/>
                <w:bCs/>
                <w:color w:val="92400E"/>
                <w:sz w:val="28"/>
                <w:szCs w:val="28"/>
              </w:rPr>
              <w:t xml:space="preserve">⟳ EN COURS</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Georgia" w:cs="Georgia" w:eastAsia="Georgia" w:hAnsi="Georgia"/>
                <w:b/>
                <w:bCs/>
                <w:color w:val="DC2626"/>
                <w:sz w:val="28"/>
                <w:szCs w:val="28"/>
              </w:rPr>
              <w:t xml:space="preserve">I32</w:t>
            </w:r>
          </w:p>
        </w:tc>
        <w:tc>
          <w:tcPr>
            <w:tcW w:type="dxa" w:w="347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1E293B"/>
                <w:sz w:val="28"/>
                <w:szCs w:val="28"/>
              </w:rPr>
              <w:t xml:space="preserve">Indicateurs de résultats suivis et publiés</w:t>
            </w:r>
          </w:p>
        </w:tc>
        <w:tc>
          <w:tcPr>
            <w:tcW w:type="dxa" w:w="414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color w:val="64748B"/>
                <w:sz w:val="28"/>
                <w:szCs w:val="28"/>
              </w:rPr>
              <w:t xml:space="preserve">Tableau de bord satisfaction, Indicateurs 26/28/30, Publication annuelle</w:t>
            </w:r>
          </w:p>
        </w:tc>
        <w:tc>
          <w:tcPr>
            <w:tcW w:type="dxa" w:w="1446"/>
            <w:tcBorders>
              <w:top w:val="single" w:color="CCCCCC" w:sz="1"/>
              <w:left w:val="single" w:color="CCCCCC" w:sz="1"/>
              <w:bottom w:val="single" w:color="CCCCCC" w:sz="1"/>
              <w:right w:val="single" w:color="CCCCCC" w:sz="1"/>
            </w:tcBorders>
            <w:shd w:fill="D1FAE5" w:val="clear"/>
            <w:tcMar>
              <w:top w:type="dxa" w:w="80"/>
              <w:left w:type="dxa" w:w="60"/>
              <w:bottom w:type="dxa" w:w="80"/>
              <w:right w:type="dxa" w:w="60"/>
            </w:tcMar>
          </w:tcPr>
          <w:p>
            <w:pPr>
              <w:jc w:val="center"/>
            </w:pPr>
            <w:r>
              <w:rPr>
                <w:rFonts w:ascii="Georgia" w:cs="Georgia" w:eastAsia="Georgia" w:hAnsi="Georgia"/>
                <w:b/>
                <w:bCs/>
                <w:color w:val="166534"/>
                <w:sz w:val="28"/>
                <w:szCs w:val="28"/>
              </w:rPr>
              <w:t xml:space="preserve">✓ CONFORME</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Synthèse de conformité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Indicateurs CONFORMES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27 / 32 — 84 %</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Indicateurs EN COURS</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5 / 32 — 16 % (I7, I19, I22, I24, I31)</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Indicateurs À TRAITER</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0 / 32 — 0 %</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Objectif audit Janvier 2027</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100 % de conformité — Plan d'action joint (TAB-AMEL-01)</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Actions prioritaires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Finaliser partenariats socio-éco PACA (I22/I24) · Auto-évaluation formalisée (I31) · Évaluation formateur annuelle (I19)</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7. GESTION DES PARTIES PRENANTES</w:t>
            </w:r>
          </w:p>
          <w:p>
            <w:pPr>
              <w:jc w:val="center"/>
            </w:pPr>
            <w:r>
              <w:rPr>
                <w:rFonts w:ascii="Georgia" w:cs="Georgia" w:eastAsia="Georgia" w:hAnsi="Georgia"/>
                <w:color w:val="799BA5"/>
                <w:sz w:val="28"/>
                <w:szCs w:val="28"/>
              </w:rPr>
              <w:t xml:space="preserve">Bénéficiaires · Financeurs · Commanditaires · Sous-traitants</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7.1 Bénéficiaires</w:t>
      </w:r>
    </w:p>
    <w:p>
      <w:pPr>
        <w:spacing w:after="40" w:before="40"/>
      </w:pPr>
      <w:r>
        <w:rPr>
          <w:rFonts w:ascii="Georgia" w:cs="Georgia" w:eastAsia="Georgia" w:hAnsi="Georgia"/>
          <w:color w:val="1E293B"/>
          <w:sz w:val="22"/>
          <w:szCs w:val="22"/>
        </w:rPr>
        <w:t xml:space="preserve">Chaque bénéficiaire bénéficie d'un accueil personnalisé, d'une analyse de ses besoins (Guide GUIDE-BC-01) et d'un suivi individualisé tout au long de sa prestation. Les engagements réciproques sont formalisés dans le contrat de formation (CONT-FORM-01).</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Entretien préalable systématique avant tout engagement</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Convention ou contrat de formation signé avant démarrage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Questionnaire de satisfaction à chaud en fin de prestation</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Questionnaire de satisfaction à froid à 6 mois (M+6)</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Gestion des réclamations sous 30 jours — formulaire disponible dans le livret d'accueil</w:t>
      </w:r>
    </w:p>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7.2 Financeurs (CPF, OPCO, France Travail)</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Tous les dossiers sont montés conformément aux exigences du financeur avant démarrage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Les feuilles d'émargement et justificatifs sont transmis dans les délais requis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Questionnaire de satisfaction financeurs envoyé annuellement (QUEST-SAT-03)</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Conformité aux exigences EDOF pour les formations CPF (programme, objectifs, modalités d'évaluation)</w:t>
      </w:r>
    </w:p>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7.3 Commanditaires / Donneurs d'ordre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Analyse des besoins commanditaire réalisée avant toute proposition (Analyse besoins commanditaire V1)</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Convention de formation co-signée (CONV-FORM-01)</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Questionnaire de satisfaction commanditaire en fin de prestation (QUEST-SAT-02)</w:t>
      </w:r>
    </w:p>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7.4 Sous-traitants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Charte d'engagement qualité Qualiopi signée avant toute intervention (CHARTE-ST-01)</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Contrat de sous-traitance formalisant les obligations respectives (CONT-ST-01)</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Transmission des procédures et documents qualité</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Évaluation régulière des compétences des intervenants (EVAL-FORM-01)</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9. ACCESSIBILITÉ PSH</w:t>
            </w:r>
          </w:p>
          <w:p>
            <w:pPr>
              <w:jc w:val="center"/>
            </w:pPr>
            <w:r>
              <w:rPr>
                <w:rFonts w:ascii="Georgia" w:cs="Georgia" w:eastAsia="Georgia" w:hAnsi="Georgia"/>
                <w:color w:val="799BA5"/>
                <w:sz w:val="28"/>
                <w:szCs w:val="28"/>
              </w:rPr>
              <w:t xml:space="preserve">Accueil et accompagnement des publics en situation de handicap</w:t>
            </w:r>
          </w:p>
        </w:tc>
      </w:tr>
    </w:tbl>
    <w:p>
      <w:r>
        <w:t xml:space="preserve"/>
      </w:r>
    </w:p>
    <w:p>
      <w:pPr>
        <w:pBdr>
          <w:left w:val="single" w:color="18478D" w:sz="22"/>
        </w:pBdr>
        <w:shd w:fill="F5F4F0" w:val="clear"/>
        <w:spacing w:after="120" w:before="120"/>
      </w:pPr>
      <w:r>
        <w:rPr>
          <w:rFonts w:ascii="Georgia" w:cs="Georgia" w:eastAsia="Georgia" w:hAnsi="Georgia"/>
          <w:color w:val="232E4F"/>
          <w:sz w:val="28"/>
          <w:szCs w:val="28"/>
        </w:rPr>
        <w:t xml:space="preserve">  MaïeutiCap est engagé dans une démarche d'accessibilité universelle. Meryem Vitré est formée comme Référente Handicap (formation AFDAS). Toute demande d'adaptation doit être signalée lors de l'entretien préalable.</w:t>
      </w:r>
    </w:p>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9.1 Dispositif d'accueil PSH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Référente handicap</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Meryem Vitré — contact@maieuticap.fr — 06 76 07 83 70</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Questionnaire PSH</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Remis systématiquement lors de l'entretien préalable (QUEST-PSH)</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Adaptations proposées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Supports adaptés, rythme individualisé, séances distancielles, grande police, durée modulée</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Réseau partenaires PSH</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Cap Emploi PACA, AGEFIPH, MDPH 06, Mission Locale</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Formation référente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Formation Référent Handicap AFDAS (attestation disponible)</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9.2 Adaptations pédagogiques possibles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Séances en distanciel synchrone (accessibilité maximale)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Supports fournis en amont pour permettre la préparation</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Durée et rythme des séances adaptés aux contraintes de santé</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Documentation en grande police, format audio sur demande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Liaisons avec les RQTH en cours et les MDPH si nécessaire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Carnet de liaison apprenant PSH transmis aux partenaires si accord du bénéficiaire</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11. AMÉLIORATION CONTINUE</w:t>
            </w:r>
          </w:p>
          <w:p>
            <w:pPr>
              <w:jc w:val="center"/>
            </w:pPr>
            <w:r>
              <w:rPr>
                <w:rFonts w:ascii="Georgia" w:cs="Georgia" w:eastAsia="Georgia" w:hAnsi="Georgia"/>
                <w:color w:val="799BA5"/>
                <w:sz w:val="28"/>
                <w:szCs w:val="28"/>
              </w:rPr>
              <w:t xml:space="preserve">Indicateurs, revues qualité et tableau de bord</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11.1 Indicateurs de performance suivis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891"/>
        <w:gridCol w:w="2120"/>
        <w:gridCol w:w="2120"/>
        <w:gridCol w:w="2120"/>
      </w:tblGrid>
      <w:tr>
        <w:trPr>
          <w:tblHeader/>
        </w:trPr>
        <w:tc>
          <w:tcPr>
            <w:tcW w:type="dxa" w:w="0"/>
            <w:tcBorders>
              <w:top w:val="single" w:color="CCCCCC" w:sz="1"/>
              <w:left w:val="single" w:color="CCCCCC" w:sz="1"/>
              <w:bottom w:val="single" w:color="CCCCCC" w:sz="1"/>
              <w:right w:val="single" w:color="CCCCCC" w:sz="1"/>
            </w:tcBorders>
            <w:shd w:fill="232E4F" w:val="clear"/>
            <w:tcMar>
              <w:top w:type="dxa" w:w="80"/>
              <w:left w:type="dxa" w:w="60"/>
              <w:bottom w:type="dxa" w:w="80"/>
              <w:right w:type="dxa" w:w="60"/>
            </w:tcMar>
          </w:tcPr>
          <w:p>
            <w:pPr>
              <w:jc w:val="center"/>
            </w:pPr>
            <w:r>
              <w:rPr>
                <w:rFonts w:ascii="Georgia" w:cs="Georgia" w:eastAsia="Georgia" w:hAnsi="Georgia"/>
                <w:b/>
                <w:bCs/>
                <w:color w:val="FFFFFF"/>
                <w:sz w:val="22"/>
                <w:szCs w:val="22"/>
              </w:rPr>
              <w:t xml:space="preserve">N°</w:t>
            </w:r>
          </w:p>
        </w:tc>
        <w:tc>
          <w:tcPr>
            <w:tcW w:type="dxa" w:w="0"/>
            <w:tcBorders>
              <w:top w:val="single" w:color="CCCCCC" w:sz="1"/>
              <w:left w:val="single" w:color="CCCCCC" w:sz="1"/>
              <w:bottom w:val="single" w:color="CCCCCC" w:sz="1"/>
              <w:right w:val="single" w:color="CCCCCC" w:sz="1"/>
            </w:tcBorders>
            <w:shd w:fill="232E4F" w:val="clear"/>
            <w:tcMar>
              <w:top w:type="dxa" w:w="80"/>
              <w:left w:type="dxa" w:w="60"/>
              <w:bottom w:type="dxa" w:w="80"/>
              <w:right w:type="dxa" w:w="60"/>
            </w:tcMar>
          </w:tcPr>
          <w:p>
            <w:pPr>
              <w:jc w:val="center"/>
            </w:pPr>
            <w:r>
              <w:rPr>
                <w:rFonts w:ascii="Georgia" w:cs="Georgia" w:eastAsia="Georgia" w:hAnsi="Georgia"/>
                <w:b/>
                <w:bCs/>
                <w:color w:val="FFFFFF"/>
                <w:sz w:val="22"/>
                <w:szCs w:val="22"/>
              </w:rPr>
              <w:t xml:space="preserve">Indicateur</w:t>
            </w:r>
          </w:p>
        </w:tc>
        <w:tc>
          <w:tcPr>
            <w:tcW w:type="dxa" w:w="0"/>
            <w:tcBorders>
              <w:top w:val="single" w:color="CCCCCC" w:sz="1"/>
              <w:left w:val="single" w:color="CCCCCC" w:sz="1"/>
              <w:bottom w:val="single" w:color="CCCCCC" w:sz="1"/>
              <w:right w:val="single" w:color="CCCCCC" w:sz="1"/>
            </w:tcBorders>
            <w:shd w:fill="232E4F" w:val="clear"/>
            <w:tcMar>
              <w:top w:type="dxa" w:w="80"/>
              <w:left w:type="dxa" w:w="60"/>
              <w:bottom w:type="dxa" w:w="80"/>
              <w:right w:type="dxa" w:w="60"/>
            </w:tcMar>
          </w:tcPr>
          <w:p>
            <w:pPr>
              <w:jc w:val="center"/>
            </w:pPr>
            <w:r>
              <w:rPr>
                <w:rFonts w:ascii="Georgia" w:cs="Georgia" w:eastAsia="Georgia" w:hAnsi="Georgia"/>
                <w:b/>
                <w:bCs/>
                <w:color w:val="FFFFFF"/>
                <w:sz w:val="22"/>
                <w:szCs w:val="22"/>
              </w:rPr>
              <w:t xml:space="preserve">Résultats 2025</w:t>
            </w:r>
          </w:p>
        </w:tc>
        <w:tc>
          <w:tcPr>
            <w:tcW w:type="dxa" w:w="0"/>
            <w:tcBorders>
              <w:top w:val="single" w:color="CCCCCC" w:sz="1"/>
              <w:left w:val="single" w:color="CCCCCC" w:sz="1"/>
              <w:bottom w:val="single" w:color="CCCCCC" w:sz="1"/>
              <w:right w:val="single" w:color="CCCCCC" w:sz="1"/>
            </w:tcBorders>
            <w:shd w:fill="232E4F" w:val="clear"/>
            <w:tcMar>
              <w:top w:type="dxa" w:w="80"/>
              <w:left w:type="dxa" w:w="60"/>
              <w:bottom w:type="dxa" w:w="80"/>
              <w:right w:type="dxa" w:w="60"/>
            </w:tcMar>
          </w:tcPr>
          <w:p>
            <w:pPr>
              <w:jc w:val="center"/>
            </w:pPr>
            <w:r>
              <w:rPr>
                <w:rFonts w:ascii="Georgia" w:cs="Georgia" w:eastAsia="Georgia" w:hAnsi="Georgia"/>
                <w:b/>
                <w:bCs/>
                <w:color w:val="FFFFFF"/>
                <w:sz w:val="22"/>
                <w:szCs w:val="22"/>
              </w:rPr>
              <w:t xml:space="preserve">Objectif 2026</w:t>
            </w:r>
          </w:p>
        </w:tc>
        <w:tc>
          <w:tcPr>
            <w:tcW w:type="dxa" w:w="0"/>
            <w:tcBorders>
              <w:top w:val="single" w:color="CCCCCC" w:sz="1"/>
              <w:left w:val="single" w:color="CCCCCC" w:sz="1"/>
              <w:bottom w:val="single" w:color="CCCCCC" w:sz="1"/>
              <w:right w:val="single" w:color="CCCCCC" w:sz="1"/>
            </w:tcBorders>
            <w:shd w:fill="232E4F" w:val="clear"/>
            <w:tcMar>
              <w:top w:type="dxa" w:w="80"/>
              <w:left w:type="dxa" w:w="60"/>
              <w:bottom w:type="dxa" w:w="80"/>
              <w:right w:type="dxa" w:w="60"/>
            </w:tcMar>
          </w:tcPr>
          <w:p>
            <w:pPr>
              <w:jc w:val="center"/>
            </w:pPr>
            <w:r>
              <w:rPr>
                <w:rFonts w:ascii="Georgia" w:cs="Georgia" w:eastAsia="Georgia" w:hAnsi="Georgia"/>
                <w:b/>
                <w:bCs/>
                <w:color w:val="FFFFFF"/>
                <w:sz w:val="22"/>
                <w:szCs w:val="22"/>
              </w:rPr>
              <w:t xml:space="preserve">Source/Preuve</w:t>
            </w:r>
          </w:p>
        </w:tc>
      </w:tr>
      <w:tr>
        <w:tc>
          <w:tcPr>
            <w:tcW w:type="dxa" w:w="386"/>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D9A843"/>
                <w:sz w:val="28"/>
                <w:szCs w:val="28"/>
              </w:rPr>
              <w:t xml:space="preserve">1</w:t>
            </w:r>
          </w:p>
        </w:tc>
        <w:tc>
          <w:tcPr>
            <w:tcW w:type="dxa" w:w="2891"/>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Taux de satisfaction moyen (à chaud)</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9,0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 9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Quest. satisfaction V2026</w:t>
            </w:r>
          </w:p>
        </w:tc>
      </w:tr>
      <w:tr>
        <w:tc>
          <w:tcPr>
            <w:tcW w:type="dxa" w:w="386"/>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D9A843"/>
                <w:sz w:val="28"/>
                <w:szCs w:val="28"/>
              </w:rPr>
              <w:t xml:space="preserve">2</w:t>
            </w:r>
          </w:p>
        </w:tc>
        <w:tc>
          <w:tcPr>
            <w:tcW w:type="dxa" w:w="2891"/>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Taux de satisfaction ≥ 7/10 (à chaud)</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100 %</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100 %</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Quest. satisfaction V2026</w:t>
            </w:r>
          </w:p>
        </w:tc>
      </w:tr>
      <w:tr>
        <w:tc>
          <w:tcPr>
            <w:tcW w:type="dxa" w:w="386"/>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D9A843"/>
                <w:sz w:val="28"/>
                <w:szCs w:val="28"/>
              </w:rPr>
              <w:t xml:space="preserve">3</w:t>
            </w:r>
          </w:p>
        </w:tc>
        <w:tc>
          <w:tcPr>
            <w:tcW w:type="dxa" w:w="2891"/>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Taux de satisfaction (à froid M+6)</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En cours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 80 %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Quest. froid M+6 V2026</w:t>
            </w:r>
          </w:p>
        </w:tc>
      </w:tr>
      <w:tr>
        <w:tc>
          <w:tcPr>
            <w:tcW w:type="dxa" w:w="386"/>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D9A843"/>
                <w:sz w:val="28"/>
                <w:szCs w:val="28"/>
              </w:rPr>
              <w:t xml:space="preserve">4</w:t>
            </w:r>
          </w:p>
        </w:tc>
        <w:tc>
          <w:tcPr>
            <w:tcW w:type="dxa" w:w="2891"/>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Taux de réalisation du plan d'action (M+6)</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En cours</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 70 %</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Quest. froid M+6 V2026</w:t>
            </w:r>
          </w:p>
        </w:tc>
      </w:tr>
      <w:tr>
        <w:tc>
          <w:tcPr>
            <w:tcW w:type="dxa" w:w="386"/>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D9A843"/>
                <w:sz w:val="28"/>
                <w:szCs w:val="28"/>
              </w:rPr>
              <w:t xml:space="preserve">5</w:t>
            </w:r>
          </w:p>
        </w:tc>
        <w:tc>
          <w:tcPr>
            <w:tcW w:type="dxa" w:w="2891"/>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Taux d'abandon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Tableau suivi abandons V2026</w:t>
            </w:r>
          </w:p>
        </w:tc>
      </w:tr>
      <w:tr>
        <w:tc>
          <w:tcPr>
            <w:tcW w:type="dxa" w:w="386"/>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D9A843"/>
                <w:sz w:val="28"/>
                <w:szCs w:val="28"/>
              </w:rPr>
              <w:t xml:space="preserve">6</w:t>
            </w:r>
          </w:p>
        </w:tc>
        <w:tc>
          <w:tcPr>
            <w:tcW w:type="dxa" w:w="2891"/>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Taux de conformité Qualiopi</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84 % (27/32)</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100 % (32/32)</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Outil pilotage qualité V2026</w:t>
            </w:r>
          </w:p>
        </w:tc>
      </w:tr>
      <w:tr>
        <w:tc>
          <w:tcPr>
            <w:tcW w:type="dxa" w:w="386"/>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D9A843"/>
                <w:sz w:val="28"/>
                <w:szCs w:val="28"/>
              </w:rPr>
              <w:t xml:space="preserve">7</w:t>
            </w:r>
          </w:p>
        </w:tc>
        <w:tc>
          <w:tcPr>
            <w:tcW w:type="dxa" w:w="2891"/>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Délai traitement réclamations</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&lt; 30 jours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&lt; 30 jours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Tableau suivi réclamations</w:t>
            </w:r>
          </w:p>
        </w:tc>
      </w:tr>
      <w:tr>
        <w:tc>
          <w:tcPr>
            <w:tcW w:type="dxa" w:w="386"/>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D9A843"/>
                <w:sz w:val="28"/>
                <w:szCs w:val="28"/>
              </w:rPr>
              <w:t xml:space="preserve">8</w:t>
            </w:r>
          </w:p>
        </w:tc>
        <w:tc>
          <w:tcPr>
            <w:tcW w:type="dxa" w:w="2891"/>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Taux de réalisation PDC</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En cours</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100 %</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Plan développement compétences 2026</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11.2 Revues qualité — Calendrier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T1 2026 (Mars)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Analyse satisfaction 2025 complète · Bilan abandons · Mise à jour plan amélioration</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T2 2026 (Juin)</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Analyse indicateurs S1 · Veille réglementaire · Point partenariats PSH</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T3 2026 (Septembre)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Analyse indicateurs S2 · Préparation dossier audit · Simulation auto-évaluation</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T4 2026 (Décembre)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Revue annuelle · Bilan complet · Rapport d'activité · Préparation audit Janvier 2027</w:t>
            </w:r>
          </w:p>
        </w:tc>
      </w:tr>
    </w:tbl>
    <w:p>
      <w:r>
        <w:t xml:space="preserve"/>
      </w:r>
    </w:p>
    <w:p>
      <w:pPr>
        <w:spacing w:after="80" w:before="18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11.3 Gestion des non-conformités</w:t>
      </w:r>
    </w:p>
    <w:p>
      <w:pPr>
        <w:spacing w:after="40" w:before="40"/>
      </w:pPr>
      <w:r>
        <w:rPr>
          <w:rFonts w:ascii="Georgia" w:cs="Georgia" w:eastAsia="Georgia" w:hAnsi="Georgia"/>
          <w:color w:val="1E293B"/>
          <w:sz w:val="22"/>
          <w:szCs w:val="22"/>
        </w:rPr>
        <w:t xml:space="preserve">Toute non-conformité identifiée (lors d'une revue qualité, d'un audit ou d'une réclamation) fait l'objet du processus suivant :</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Identification et enregistrement dans le tableau de suivi des actions d'amélioration (TAB-AMEL-01)</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Analyse des causes racines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Définition d'une action corrective avec responsable et échéance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Mise en œuvre et suivi</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Vérification de l'efficacité lors de la revue qualité suivante</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32E4F" w:val="clear"/>
            <w:tcMar>
              <w:top w:type="dxa" w:w="160"/>
              <w:left w:type="dxa" w:w="220"/>
              <w:bottom w:type="dxa" w:w="160"/>
              <w:right w:type="dxa" w:w="220"/>
            </w:tcMar>
          </w:tcPr>
          <w:p>
            <w:pPr>
              <w:jc w:val="center"/>
            </w:pPr>
            <w:r>
              <w:rPr>
                <w:rFonts w:ascii="Georgia" w:cs="Georgia" w:eastAsia="Georgia" w:hAnsi="Georgia"/>
                <w:b/>
                <w:bCs/>
                <w:color w:val="D9A843"/>
                <w:sz w:val="28"/>
                <w:szCs w:val="28"/>
              </w:rPr>
              <w:t xml:space="preserve">13. ANNEXES</w:t>
            </w:r>
          </w:p>
          <w:p>
            <w:pPr>
              <w:jc w:val="center"/>
            </w:pPr>
            <w:r>
              <w:rPr>
                <w:rFonts w:ascii="Georgia" w:cs="Georgia" w:eastAsia="Georgia" w:hAnsi="Georgia"/>
                <w:color w:val="799BA5"/>
                <w:sz w:val="28"/>
                <w:szCs w:val="28"/>
              </w:rPr>
              <w:t xml:space="preserve">Référentiel documentaire MaïeutiCap</w:t>
            </w:r>
          </w:p>
        </w:tc>
      </w:tr>
    </w:tbl>
    <w:p>
      <w:r>
        <w:t xml:space="preserve"/>
      </w:r>
    </w:p>
    <w:p>
      <w:pPr>
        <w:pBdr>
          <w:left w:val="single" w:color="D9A843" w:sz="22"/>
        </w:pBdr>
        <w:shd w:fill="F5F4F0" w:val="clear"/>
        <w:spacing w:after="120" w:before="120"/>
      </w:pPr>
      <w:r>
        <w:rPr>
          <w:rFonts w:ascii="Georgia" w:cs="Georgia" w:eastAsia="Georgia" w:hAnsi="Georgia"/>
          <w:color w:val="232E4F"/>
          <w:sz w:val="28"/>
          <w:szCs w:val="28"/>
        </w:rPr>
        <w:t xml:space="preserve">  Tous les documents listés ci-dessous constituent le système documentaire qualité de MaïeutiCap. Ils sont disponibles dans la bibliothèque documentaire de l'outil de pilotage qualité (MQ-OUTIL-V2026).</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048"/>
        <w:gridCol w:w="1349"/>
        <w:gridCol w:w="3084"/>
      </w:tblGrid>
      <w:tr>
        <w:trPr>
          <w:tblHeader/>
        </w:trPr>
        <w:tc>
          <w:tcPr>
            <w:tcW w:type="dxa" w:w="0"/>
            <w:tcBorders>
              <w:top w:val="single" w:color="CCCCCC" w:sz="1"/>
              <w:left w:val="single" w:color="CCCCCC" w:sz="1"/>
              <w:bottom w:val="single" w:color="CCCCCC" w:sz="1"/>
              <w:right w:val="single" w:color="CCCCCC" w:sz="1"/>
            </w:tcBorders>
            <w:shd w:fill="232E4F" w:val="clear"/>
            <w:tcMar>
              <w:top w:type="dxa" w:w="80"/>
              <w:left w:type="dxa" w:w="60"/>
              <w:bottom w:type="dxa" w:w="80"/>
              <w:right w:type="dxa" w:w="60"/>
            </w:tcMar>
          </w:tcPr>
          <w:p>
            <w:r>
              <w:rPr>
                <w:rFonts w:ascii="Georgia" w:cs="Georgia" w:eastAsia="Georgia" w:hAnsi="Georgia"/>
                <w:b/>
                <w:bCs/>
                <w:color w:val="FFFFFF"/>
                <w:sz w:val="22"/>
                <w:szCs w:val="22"/>
              </w:rPr>
              <w:t xml:space="preserve">Référence</w:t>
            </w:r>
          </w:p>
        </w:tc>
        <w:tc>
          <w:tcPr>
            <w:tcW w:type="dxa" w:w="0"/>
            <w:tcBorders>
              <w:top w:val="single" w:color="CCCCCC" w:sz="1"/>
              <w:left w:val="single" w:color="CCCCCC" w:sz="1"/>
              <w:bottom w:val="single" w:color="CCCCCC" w:sz="1"/>
              <w:right w:val="single" w:color="CCCCCC" w:sz="1"/>
            </w:tcBorders>
            <w:shd w:fill="232E4F" w:val="clear"/>
            <w:tcMar>
              <w:top w:type="dxa" w:w="80"/>
              <w:left w:type="dxa" w:w="60"/>
              <w:bottom w:type="dxa" w:w="80"/>
              <w:right w:type="dxa" w:w="60"/>
            </w:tcMar>
          </w:tcPr>
          <w:p>
            <w:r>
              <w:rPr>
                <w:rFonts w:ascii="Georgia" w:cs="Georgia" w:eastAsia="Georgia" w:hAnsi="Georgia"/>
                <w:b/>
                <w:bCs/>
                <w:color w:val="FFFFFF"/>
                <w:sz w:val="22"/>
                <w:szCs w:val="22"/>
              </w:rPr>
              <w:t xml:space="preserve">Titre du document</w:t>
            </w:r>
          </w:p>
        </w:tc>
        <w:tc>
          <w:tcPr>
            <w:tcW w:type="dxa" w:w="0"/>
            <w:tcBorders>
              <w:top w:val="single" w:color="CCCCCC" w:sz="1"/>
              <w:left w:val="single" w:color="CCCCCC" w:sz="1"/>
              <w:bottom w:val="single" w:color="CCCCCC" w:sz="1"/>
              <w:right w:val="single" w:color="CCCCCC" w:sz="1"/>
            </w:tcBorders>
            <w:shd w:fill="232E4F" w:val="clear"/>
            <w:tcMar>
              <w:top w:type="dxa" w:w="80"/>
              <w:left w:type="dxa" w:w="60"/>
              <w:bottom w:type="dxa" w:w="80"/>
              <w:right w:type="dxa" w:w="60"/>
            </w:tcMar>
          </w:tcPr>
          <w:p>
            <w:r>
              <w:rPr>
                <w:rFonts w:ascii="Georgia" w:cs="Georgia" w:eastAsia="Georgia" w:hAnsi="Georgia"/>
                <w:b/>
                <w:bCs/>
                <w:color w:val="FFFFFF"/>
                <w:sz w:val="22"/>
                <w:szCs w:val="22"/>
              </w:rPr>
              <w:t xml:space="preserve">Version</w:t>
            </w:r>
          </w:p>
        </w:tc>
        <w:tc>
          <w:tcPr>
            <w:tcW w:type="dxa" w:w="0"/>
            <w:tcBorders>
              <w:top w:val="single" w:color="CCCCCC" w:sz="1"/>
              <w:left w:val="single" w:color="CCCCCC" w:sz="1"/>
              <w:bottom w:val="single" w:color="CCCCCC" w:sz="1"/>
              <w:right w:val="single" w:color="CCCCCC" w:sz="1"/>
            </w:tcBorders>
            <w:shd w:fill="232E4F" w:val="clear"/>
            <w:tcMar>
              <w:top w:type="dxa" w:w="80"/>
              <w:left w:type="dxa" w:w="60"/>
              <w:bottom w:type="dxa" w:w="80"/>
              <w:right w:type="dxa" w:w="60"/>
            </w:tcMar>
          </w:tcPr>
          <w:p>
            <w:r>
              <w:rPr>
                <w:rFonts w:ascii="Georgia" w:cs="Georgia" w:eastAsia="Georgia" w:hAnsi="Georgia"/>
                <w:b/>
                <w:bCs/>
                <w:color w:val="FFFFFF"/>
                <w:sz w:val="22"/>
                <w:szCs w:val="22"/>
              </w:rPr>
              <w:t xml:space="preserve">Indicateurs Qualiopi couverts</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PROC-QUAL-01</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Procédure réclamations / satisfaction / aléas</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V1 03/2025</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I29, I30, I31, I32</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PROC-QUAL-02</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Procédure gestion des abandons</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I12, I29</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PROC-CART-01</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Cartographie des processus qualité</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Critères 1-7</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CONT-FORM-01</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Contrat de formation professionnelle</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I4, I6</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CONV-FORM-01</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Convention de formation</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I4, I7</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RI-DIST-01</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Règlement intérieur distanciel</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I3, I8</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CHARTE-DEON-01</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Charte de déontologie</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I4, I8</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CHARTE-ST-01</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Charte engagement qualité sous-traitant</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I16, I21</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PROG-BC-01</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Programme Bilan de Compétences</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 EDOF</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I1, I5, I6</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PROG-SS-01</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Programme Formation Soft Skills</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 EDOF</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I1, I5, I6</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GUIDE-BC-01</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Guide entretien préalable BC</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I4, I5, I6</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EVAL-BC-01</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Grille évaluation Bilan de Compétences</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I9, I10</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EMAR-01</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Feuille d'émargement</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I13</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SUIVI-BC-01</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Fiche de suivi formation / BC</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I13, I9, I10</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QUEST-SAT-01</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Questionnaire satisfaction bénéficiaires (à chaud)</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I26, I30</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QUEST-SAT-02</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Questionnaire satisfaction commanditaire</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I27, I30</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QUEST-SAT-03</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Questionnaire satisfaction financeurs</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I27, I30</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QUEST-FROID-01</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Questionnaire satisfaction à froid (M+6)</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I26, I30</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EVAL-FORM-01</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Grille évaluation formateur (auto-évaluation)</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I19, I28</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FP-MULTI-01</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Fiche de poste multi-missions (Dirigeante/Consultante)</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I15, I16</w:t>
            </w:r>
          </w:p>
        </w:tc>
      </w:tr>
      <w:tr>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bCs/>
                <w:color w:val="18478D"/>
                <w:sz w:val="28"/>
                <w:szCs w:val="28"/>
              </w:rPr>
              <w:t xml:space="preserve">FORM-04</w:t>
            </w:r>
          </w:p>
        </w:tc>
        <w:tc>
          <w:tcPr>
            <w:tcW w:type="dxa" w:w="4048"/>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Formulaire d'abandon</w:t>
            </w:r>
          </w:p>
        </w:tc>
        <w:tc>
          <w:tcPr>
            <w:tcW w:type="dxa" w:w="1349"/>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I12</w:t>
            </w:r>
          </w:p>
        </w:tc>
      </w:tr>
      <w:tr>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bCs/>
                <w:color w:val="18478D"/>
                <w:sz w:val="28"/>
                <w:szCs w:val="28"/>
              </w:rPr>
              <w:t xml:space="preserve">MAIL-01à05</w:t>
            </w:r>
          </w:p>
        </w:tc>
        <w:tc>
          <w:tcPr>
            <w:tcW w:type="dxa" w:w="4048"/>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Modèles de mails (5 modèles)</w:t>
            </w:r>
          </w:p>
        </w:tc>
        <w:tc>
          <w:tcPr>
            <w:tcW w:type="dxa" w:w="1349"/>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V2026</w:t>
            </w:r>
          </w:p>
        </w:tc>
        <w:tc>
          <w:tcPr>
            <w:tcW w:type="dxa" w:w="3084"/>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r>
              <w:rPr>
                <w:rFonts w:ascii="Georgia" w:cs="Georgia" w:eastAsia="Georgia" w:hAnsi="Georgia"/>
                <w:b w:val="false"/>
                <w:bCs w:val="false"/>
                <w:color w:val="1E293B"/>
                <w:sz w:val="28"/>
                <w:szCs w:val="28"/>
              </w:rPr>
              <w:t xml:space="preserve">I3, I27, I30</w:t>
            </w:r>
          </w:p>
        </w:tc>
      </w:tr>
    </w:tbl>
    <w:p>
      <w:r>
        <w:t xml:space="preserve"/>
      </w:r>
    </w:p>
    <w:p>
      <w:pPr>
        <w:pBdr>
          <w:left w:val="single" w:color="D9A843" w:sz="22"/>
        </w:pBdr>
        <w:shd w:fill="F5F4F0" w:val="clear"/>
        <w:spacing w:after="120" w:before="120"/>
      </w:pPr>
      <w:r>
        <w:rPr>
          <w:rFonts w:ascii="Georgia" w:cs="Georgia" w:eastAsia="Georgia" w:hAnsi="Georgia"/>
          <w:color w:val="232E4F"/>
          <w:sz w:val="28"/>
          <w:szCs w:val="28"/>
        </w:rPr>
        <w:t xml:space="preserve">  Ce Manuel Qualité est un document vivant. Il est mis à jour à chaque révision majeure des pratiques, après chaque audit, et au minimum une fois par an. Prochaine révision prévue : Décembre 2026 (avant audit de surveillance Janvier 2027).</w:t>
      </w:r>
    </w:p>
    <w:p>
      <w:r>
        <w:t xml:space="preserve"/>
      </w:r>
    </w:p>
    <w:p>
      <w:pPr>
        <w:spacing w:before="160"/>
      </w:pPr>
      <w:r>
        <w:rPr>
          <w:rFonts w:ascii="Georgia" w:cs="Georgia" w:eastAsia="Georgia" w:hAnsi="Georgia"/>
          <w:color w:val="232E4F"/>
          <w:sz w:val="22"/>
          <w:szCs w:val="22"/>
        </w:rPr>
        <w:t xml:space="preserve">Fait à Nice, le ......../....../2026</w:t>
      </w:r>
    </w:p>
    <w:p>
      <w:pPr>
        <w:spacing w:before="100"/>
      </w:pPr>
      <w:r>
        <w:rPr>
          <w:rFonts w:ascii="Georgia" w:cs="Georgia" w:eastAsia="Georgia" w:hAnsi="Georgia"/>
          <w:b/>
          <w:bCs/>
          <w:color w:val="232E4F"/>
          <w:sz w:val="22"/>
          <w:szCs w:val="22"/>
        </w:rPr>
        <w:t xml:space="preserve">Meryem Vitré — Dirigeante &amp; Référente Qualité MaïeutiCap</w:t>
      </w:r>
    </w:p>
    <w:p>
      <w:pPr>
        <w:pBdr>
          <w:bottom w:val="single" w:color="799BA5" w:sz="4"/>
        </w:pBdr>
        <w:spacing w:before="240"/>
      </w:pPr>
      <w:r>
        <w:rPr>
          <w:rFonts w:ascii="Georgia" w:cs="Georgia" w:eastAsia="Georgia" w:hAnsi="Georgia"/>
          <w:color w:val="1E293B"/>
          <w:sz w:val="22"/>
          <w:szCs w:val="22"/>
        </w:rPr>
        <w:t xml:space="preserve">Signature :</w:t>
      </w:r>
    </w:p>
    <w:sectPr>
      <w:headerReference w:type="default" r:id="rId7"/>
      <w:footerReference w:type="default" r:id="rId8"/>
      <w:pgSz w:w="11906" w:h="16838" w:orient="portrait"/>
      <w:pgMar w:top="1734" w:right="1134" w:bottom="15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A843" w:sz="6"/>
      </w:pBdr>
      <w:spacing w:before="100"/>
    </w:pPr>
    <w:r>
      <w:rPr>
        <w:rFonts w:ascii="Georgia" w:cs="Georgia" w:eastAsia="Georgia" w:hAnsi="Georgia"/>
        <w:color w:val="799BA5"/>
        <w:sz w:val="18"/>
        <w:szCs w:val="18"/>
      </w:rPr>
      <w:t xml:space="preserve">Manuel Qualité MaïeutiCap · Version 2026 · Confidentiel — Usage interne et audit Qualiopi</w:t>
    </w:r>
    <w:r>
      <w:rPr>
        <w:rFonts w:ascii="Georgia" w:cs="Georgia" w:eastAsia="Georgia" w:hAnsi="Georgia"/>
        <w:color w:val="799BA5"/>
        <w:sz w:val="18"/>
        <w:szCs w:val="18"/>
      </w:rPr>
      <w:t xml:space="preserv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c>
        <w:tcPr>
          <w:tcW w:type="dxa" w:w="5301"/>
          <w:tcBorders>
            <w:top w:val="none" w:color="FFFFFF" w:sz="0"/>
            <w:left w:val="none" w:color="FFFFFF" w:sz="0"/>
            <w:bottom w:val="none" w:color="FFFFFF" w:sz="0"/>
            <w:right w:val="none" w:color="FFFFFF" w:sz="0"/>
          </w:tcBorders>
          <w:shd w:fill="232E4F" w:val="clear"/>
          <w:tcMar>
            <w:top w:type="dxa" w:w="80"/>
            <w:left w:type="dxa" w:w="160"/>
            <w:bottom w:type="dxa" w:w="80"/>
            <w:right w:type="dxa" w:w="100"/>
          </w:tcMar>
          <w:vAlign w:val="center"/>
        </w:tcPr>
        <w:p>
          <w:r>
            <w:rPr>
              <w:rFonts w:ascii="Georgia" w:cs="Georgia" w:eastAsia="Georgia" w:hAnsi="Georgia"/>
              <w:b/>
              <w:bCs/>
              <w:color w:val="FFFFFF"/>
              <w:sz w:val="28"/>
              <w:szCs w:val="28"/>
            </w:rPr>
            <w:t xml:space="preserve">Maïeuti</w:t>
          </w:r>
          <w:r>
            <w:rPr>
              <w:rFonts w:ascii="Georgia" w:cs="Georgia" w:eastAsia="Georgia" w:hAnsi="Georgia"/>
              <w:b/>
              <w:bCs/>
              <w:color w:val="D9A843"/>
              <w:sz w:val="28"/>
              <w:szCs w:val="28"/>
            </w:rPr>
            <w:t xml:space="preserve">Cap</w:t>
          </w:r>
        </w:p>
        <w:p>
          <w:r>
            <w:rPr>
              <w:rFonts w:ascii="Georgia" w:cs="Georgia" w:eastAsia="Georgia" w:hAnsi="Georgia"/>
              <w:color w:val="799BA5"/>
              <w:sz w:val="28"/>
              <w:szCs w:val="28"/>
            </w:rPr>
            <w:t xml:space="preserve">RÉVÉLATEUR DE POTENTIELS · NDA 93061024406</w:t>
          </w:r>
        </w:p>
      </w:tc>
      <w:tc>
        <w:tcPr>
          <w:tcW w:type="dxa" w:w="4337"/>
          <w:tcBorders>
            <w:top w:val="none" w:color="FFFFFF" w:sz="0"/>
            <w:left w:val="none" w:color="FFFFFF" w:sz="0"/>
            <w:bottom w:val="none" w:color="FFFFFF" w:sz="0"/>
            <w:right w:val="none" w:color="FFFFFF" w:sz="0"/>
          </w:tcBorders>
          <w:shd w:fill="D9A843" w:val="clear"/>
          <w:tcMar>
            <w:top w:type="dxa" w:w="80"/>
            <w:left w:type="dxa" w:w="120"/>
            <w:bottom w:type="dxa" w:w="80"/>
            <w:right w:type="dxa" w:w="120"/>
          </w:tcMar>
          <w:vAlign w:val="center"/>
        </w:tcPr>
        <w:p>
          <w:pPr>
            <w:jc w:val="center"/>
          </w:pPr>
          <w:r>
            <w:rPr>
              <w:rFonts w:ascii="Georgia" w:cs="Georgia" w:eastAsia="Georgia" w:hAnsi="Georgia"/>
              <w:b/>
              <w:bCs/>
              <w:color w:val="232E4F"/>
              <w:sz w:val="28"/>
              <w:szCs w:val="28"/>
            </w:rPr>
            <w:t xml:space="preserve">MANUEL QUALITÉ QUALIOPI</w:t>
          </w:r>
        </w:p>
        <w:p>
          <w:pPr>
            <w:jc w:val="center"/>
          </w:pPr>
          <w:r>
            <w:rPr>
              <w:rFonts w:ascii="Georgia" w:cs="Georgia" w:eastAsia="Georgia" w:hAnsi="Georgia"/>
              <w:color w:val="232E4F"/>
              <w:sz w:val="28"/>
              <w:szCs w:val="28"/>
            </w:rPr>
            <w:t xml:space="preserve">Manuel Qualité · V2026</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lvl w:ilvl="1" w15: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2026-05-21T11:09:31.016Z</dcterms:created>
  <dcterms:modified xsi:type="dcterms:W3CDTF">2026-05-21T11:09:31.016Z</dcterms:modified>
</cp:coreProperties>
</file>

<file path=docProps/custom.xml><?xml version="1.0" encoding="utf-8"?>
<Properties xmlns="http://schemas.openxmlformats.org/officeDocument/2006/custom-properties" xmlns:vt="http://schemas.openxmlformats.org/officeDocument/2006/docPropsVTypes"/>
</file>