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Référence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CHARTE-DEON-01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Version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V2026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Application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Dirigeante + tous intervenants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Indicateurs Qualiopi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I4, I8 — Critères 2 et 3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La présente Charte engage MaïeutiCap et tous les formateurs intervenants. Elle établit un cadre protégeant les stagiaires et spécifie les exigences de bonnes pratiques.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Section I — Éthique et déontologie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1. Principes généraux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Exercer son activité en appliquant : respect de la personne, indépendance de jugement, honnêteté, neutralité et confidentialité professionnelle.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2. Non-discrimination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S'interdire toute discrimination pour quelque motif que ce soit dans les actes, propos et supports.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Section II — Relation avec les bénéficiaires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3. Respect de la personne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Inscrire toutes les actions dans une démarche de développement de la personne, respecter l'autonomie, s'interdire tout jugement.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4. Confidentialité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Garder strictement confidentiel tout ce que le bénéficiaire confie. Ne jamais communiquer d'information sans accord écrit préalable.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5. Neutralité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Ne jamais orienter le bénéficiaire vers une solution dont MaïeutiCap tirerait un avantage injustifié.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Section III — Développement professionnel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6. Formation continue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S'engager à maintenir et développer ses compétences par la formation continue, la veille et la participation à des réseaux professionnels.</w:t>
      </w:r>
    </w:p>
    <w:p>
      <w:r>
        <w:t xml:space="preserve"/>
      </w:r>
    </w:p>
    <w:p>
      <w:pPr>
        <w:pBdr>
          <w:left w:val="single" w:color="D9A843" w:sz="22"/>
        </w:pBdr>
        <w:shd w:fill="F5F4F0" w:val="clear"/>
        <w:spacing w:after="100" w:before="100"/>
      </w:pPr>
      <w:r>
        <w:rPr>
          <w:rFonts w:ascii="Georgia" w:cs="Georgia" w:eastAsia="Georgia" w:hAnsi="Georgia"/>
          <w:color w:val="232E4F"/>
          <w:sz w:val="28"/>
          <w:szCs w:val="28"/>
        </w:rPr>
        <w:t xml:space="preserve">  Par la signature du contrat de formation, les deux parties s'engagent au respect de la présente Charte de Déontologie MaïeutiCap.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MaïeutiCap
Meryem Vitré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Date d'entrée en vigueur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34" w:right="1134" w:bottom="16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80"/>
    </w:pPr>
    <w:r>
      <w:drawing>
        <wp:inline distT="0" distB="0" distL="0" distR="0">
          <wp:extent cx="523875" cy="142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799BA5"/>
        <w:sz w:val="28"/>
        <w:szCs w:val="28"/>
      </w:rPr>
      <w:t xml:space="preserve">  |  11 Rue G. Charbonnier —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1"/>
      <w:gridCol w:w="4819"/>
      <w:gridCol w:w="4048"/>
    </w:tblGrid>
    <w:tr>
      <w:tc>
        <w:tcPr>
          <w:tcW w:type="dxa" w:w="7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9A843" w:val="clear"/>
          <w:tcMar>
            <w:top w:type="dxa" w:w="60"/>
            <w:left w:type="dxa" w:w="40"/>
            <w:bottom w:type="dxa" w:w="60"/>
            <w:right w:type="dxa" w:w="40"/>
          </w:tcMar>
        </w:tcPr>
        <w:p>
          <w:r>
            <w:t xml:space="preserve"/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6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32E4F"/>
              <w:sz w:val="28"/>
              <w:szCs w:val="28"/>
            </w:rPr>
            <w:t xml:space="preserve">CHARTE DE DÉONTOLOGIE</w:t>
          </w:r>
        </w:p>
        <w:p>
          <w:r>
            <w:rPr>
              <w:rFonts w:ascii="Georgia" w:cs="Georgia" w:eastAsia="Georgia" w:hAnsi="Georgia"/>
              <w:color w:val="799BA5"/>
              <w:sz w:val="22"/>
              <w:szCs w:val="22"/>
            </w:rPr>
            <w:t xml:space="preserve">V2026 · Qualiopi ✓ · NDA 93061024406</w:t>
          </w:r>
        </w:p>
      </w:tc>
      <w:tc>
        <w:tcPr>
          <w:tcW w:type="dxa" w:w="404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60"/>
            <w:bottom w:type="dxa" w:w="60"/>
            <w:right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232E4F" w:sz="6"/>
      </w:pBdr>
      <w:spacing w:after="12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2026-05-21T11:09:28.905Z</dcterms:created>
  <dcterms:modified xsi:type="dcterms:W3CDTF">2026-05-21T11:09:28.905Z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