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D9A843" w:sz="18"/>
        </w:pBdr>
        <w:shd w:fill="F5F4F0" w:val="clear"/>
        <w:spacing w:after="100" w:before="100"/>
      </w:pPr>
      <w:r>
        <w:rPr>
          <w:rFonts w:ascii="Georgia" w:cs="Georgia" w:eastAsia="Georgia" w:hAnsi="Georgia"/>
          <w:color w:val="232E4F"/>
          <w:sz w:val="28"/>
          <w:szCs w:val="28"/>
        </w:rPr>
        <w:t xml:space="preserve">  Document conforme aux exigences EDOF (Mon Compte Formation) — Art. R.6313-4 du Code du travail — Certification Qualiopi BC + Actions de formation</w:t>
      </w:r>
    </w:p>
    <w:p>
      <w:r>
        <w:t xml:space="preserve"/>
      </w:r>
    </w:p>
    <w:p>
      <w:pPr>
        <w:pBdr>
          <w:bottom w:val="single" w:color="D9A843" w:sz="8"/>
        </w:pBdr>
        <w:spacing w:after="100" w:before="220"/>
      </w:pPr>
      <w:r>
        <w:rPr>
          <w:rFonts w:ascii="Georgia" w:cs="Georgia" w:eastAsia="Georgia" w:hAnsi="Georgia"/>
          <w:b/>
          <w:bCs/>
          <w:color w:val="232E4F"/>
          <w:sz w:val="28"/>
          <w:szCs w:val="28"/>
        </w:rPr>
        <w:t xml:space="preserve">1. Identification de la 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Intitulé exact</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Bilan de Compétences — Révélateur de Potentiels</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Organisme prestataire</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MaïeutiCap — Meryem Vitré (Dirigeante &amp; Consultante)</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Code action Mon Compte Formation</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À renseigner selon référencement CPF en cours</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Durée totale</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24 heures (dont 16h accompagnement individuel + 8h travail personnel guidé)</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Modalités</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Distanciel synchrone (Teams/Zoom) · Présentiel sur demande · Mixte possible</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Format</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Individuel — accompagnement personnalisé sur mesure</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Prix</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1 800 € HT / 2 160 € TTC — Prise en charge CPF, OPCO, Pôle Emploi, employeur</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Référent qualité &amp; handicap</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Meryem Vitré — contact@maieuticap.fr — 06 76 07 83 70</w:t>
            </w:r>
          </w:p>
        </w:tc>
      </w:tr>
    </w:tbl>
    <w:p>
      <w:r>
        <w:t xml:space="preserve"/>
      </w:r>
    </w:p>
    <w:p>
      <w:pPr>
        <w:pBdr>
          <w:bottom w:val="single" w:color="D9A843" w:sz="8"/>
        </w:pBdr>
        <w:spacing w:after="100" w:before="220"/>
      </w:pPr>
      <w:r>
        <w:rPr>
          <w:rFonts w:ascii="Georgia" w:cs="Georgia" w:eastAsia="Georgia" w:hAnsi="Georgia"/>
          <w:b/>
          <w:bCs/>
          <w:color w:val="232E4F"/>
          <w:sz w:val="28"/>
          <w:szCs w:val="28"/>
        </w:rPr>
        <w:t xml:space="preserve">2. Public cible et prérequis</w:t>
      </w:r>
    </w:p>
    <w:p>
      <w:pPr>
        <w:spacing w:after="70" w:before="160"/>
      </w:pPr>
      <w:r>
        <w:rPr>
          <w:rFonts w:ascii="Georgia" w:cs="Georgia" w:eastAsia="Georgia" w:hAnsi="Georgia"/>
          <w:b/>
          <w:bCs/>
          <w:color w:val="D9A843"/>
          <w:sz w:val="28"/>
          <w:szCs w:val="28"/>
        </w:rPr>
        <w:t xml:space="preserve">◆ </w:t>
      </w:r>
      <w:r>
        <w:rPr>
          <w:rFonts w:ascii="Georgia" w:cs="Georgia" w:eastAsia="Georgia" w:hAnsi="Georgia"/>
          <w:b/>
          <w:bCs/>
          <w:color w:val="232E4F"/>
          <w:sz w:val="28"/>
          <w:szCs w:val="28"/>
        </w:rPr>
        <w:t xml:space="preserve">2.1 Public visé</w:t>
      </w:r>
    </w:p>
    <w:p>
      <w:pPr>
        <w:spacing w:after="40" w:before="40"/>
      </w:pPr>
      <w:r>
        <w:rPr>
          <w:rFonts w:ascii="Georgia" w:cs="Georgia" w:eastAsia="Georgia" w:hAnsi="Georgia"/>
          <w:color w:val="1E293B"/>
          <w:sz w:val="22"/>
          <w:szCs w:val="22"/>
        </w:rPr>
        <w:t xml:space="preserve">Le bilan de compétences s'adresse à tout actif souhaitant faire un point sur son parcours professionnel :</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Salariés du secteur privé ou public (CDI, CDD, temps partiel)</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Demandeurs d'emploi, personnes en reconversion professionnelle</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Travailleurs indépendants, chefs d'entreprise</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Fonctionnaires et agents de la fonction publique</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Toute personne souhaitant définir ou consolider son projet professionnel</w:t>
      </w:r>
    </w:p>
    <w:p>
      <w:r>
        <w:t xml:space="preserve"/>
      </w:r>
    </w:p>
    <w:p>
      <w:pPr>
        <w:spacing w:after="70" w:before="160"/>
      </w:pPr>
      <w:r>
        <w:rPr>
          <w:rFonts w:ascii="Georgia" w:cs="Georgia" w:eastAsia="Georgia" w:hAnsi="Georgia"/>
          <w:b/>
          <w:bCs/>
          <w:color w:val="D9A843"/>
          <w:sz w:val="28"/>
          <w:szCs w:val="28"/>
        </w:rPr>
        <w:t xml:space="preserve">◆ </w:t>
      </w:r>
      <w:r>
        <w:rPr>
          <w:rFonts w:ascii="Georgia" w:cs="Georgia" w:eastAsia="Georgia" w:hAnsi="Georgia"/>
          <w:b/>
          <w:bCs/>
          <w:color w:val="232E4F"/>
          <w:sz w:val="28"/>
          <w:szCs w:val="28"/>
        </w:rPr>
        <w:t xml:space="preserve">2.2 Prérequis</w:t>
      </w:r>
    </w:p>
    <w:p>
      <w:pPr>
        <w:spacing w:after="40" w:before="40"/>
      </w:pPr>
      <w:r>
        <w:rPr>
          <w:rFonts w:ascii="Georgia" w:cs="Georgia" w:eastAsia="Georgia" w:hAnsi="Georgia"/>
          <w:color w:val="1E293B"/>
          <w:sz w:val="22"/>
          <w:szCs w:val="22"/>
        </w:rPr>
        <w:t xml:space="preserve">Aucun prérequis de diplôme ou d'expérience. Une maîtrise suffisante de la langue française (lu, écrit, parlé) est nécessaire pour participer aux échanges et compléter les outils proposés. En cas de difficultés spécifiques, des adaptations sont proposées.</w:t>
      </w:r>
    </w:p>
    <w:p>
      <w:r>
        <w:t xml:space="preserve"/>
      </w:r>
    </w:p>
    <w:p>
      <w:pPr>
        <w:pBdr>
          <w:bottom w:val="single" w:color="D9A843" w:sz="8"/>
        </w:pBdr>
        <w:spacing w:after="100" w:before="220"/>
      </w:pPr>
      <w:r>
        <w:rPr>
          <w:rFonts w:ascii="Georgia" w:cs="Georgia" w:eastAsia="Georgia" w:hAnsi="Georgia"/>
          <w:b/>
          <w:bCs/>
          <w:color w:val="232E4F"/>
          <w:sz w:val="28"/>
          <w:szCs w:val="28"/>
        </w:rPr>
        <w:t xml:space="preserve">3. Objectifs opérationnels (EDOF — attendus)</w:t>
      </w:r>
    </w:p>
    <w:p>
      <w:pPr>
        <w:pBdr>
          <w:left w:val="single" w:color="D9A843" w:sz="18"/>
        </w:pBdr>
        <w:shd w:fill="F5F4F0" w:val="clear"/>
        <w:spacing w:after="100" w:before="100"/>
      </w:pPr>
      <w:r>
        <w:rPr>
          <w:rFonts w:ascii="Georgia" w:cs="Georgia" w:eastAsia="Georgia" w:hAnsi="Georgia"/>
          <w:color w:val="232E4F"/>
          <w:sz w:val="28"/>
          <w:szCs w:val="28"/>
        </w:rPr>
        <w:t xml:space="preserve">  À l'issue du bilan de compétences, le bénéficiaire sera capable de :</w:t>
      </w:r>
    </w:p>
    <w:p>
      <w:r>
        <w:t xml:space="preserve"/>
      </w:r>
    </w:p>
    <w:p>
      <w:pPr>
        <w:pStyle w:val="ListParagraph"/>
        <w:numPr>
          <w:ilvl w:val="0"/>
          <w:numId w:val="2"/>
        </w:numPr>
        <w:spacing w:after="25" w:before="25"/>
      </w:pPr>
      <w:r>
        <w:rPr>
          <w:rFonts w:ascii="Georgia" w:cs="Georgia" w:eastAsia="Georgia" w:hAnsi="Georgia"/>
          <w:b w:val="bold"/>
          <w:bCs w:val="bold"/>
          <w:color w:val="1E293B"/>
          <w:sz w:val="22"/>
          <w:szCs w:val="22"/>
        </w:rPr>
        <w:t xml:space="preserve">Identifier et formaliser ses compétences, aptitudes et capacités (savoirs, savoir-faire, savoir-être)</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Analyser son parcours professionnel et personnel pour en extraire les ressources et les freins</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Clarifier ses valeurs, motivations et intérêts professionnels profonds</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Définir un ou plusieurs projets professionnels réalistes et cohérents avec son profil</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Évaluer la faisabilité de son projet sur le marché de l'emploi et de la formation (PACA)</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Élaborer un plan d'action concret avec des étapes, des ressources et un calendrier de mise en œuvre</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Rédiger un document de synthèse valorisant son profil et ses perspectives</w:t>
      </w:r>
    </w:p>
    <w:p>
      <w:r>
        <w:t xml:space="preserve"/>
      </w:r>
    </w:p>
    <w:p>
      <w:pPr>
        <w:pBdr>
          <w:bottom w:val="single" w:color="D9A843" w:sz="8"/>
        </w:pBdr>
        <w:spacing w:after="100" w:before="220"/>
      </w:pPr>
      <w:r>
        <w:rPr>
          <w:rFonts w:ascii="Georgia" w:cs="Georgia" w:eastAsia="Georgia" w:hAnsi="Georgia"/>
          <w:b/>
          <w:bCs/>
          <w:color w:val="232E4F"/>
          <w:sz w:val="28"/>
          <w:szCs w:val="28"/>
        </w:rPr>
        <w:t xml:space="preserve">4. Programme détaillé</w:t>
      </w:r>
    </w:p>
    <w:p>
      <w:pPr>
        <w:spacing w:after="70" w:before="160"/>
      </w:pPr>
      <w:r>
        <w:rPr>
          <w:rFonts w:ascii="Georgia" w:cs="Georgia" w:eastAsia="Georgia" w:hAnsi="Georgia"/>
          <w:b/>
          <w:bCs/>
          <w:color w:val="D9A843"/>
          <w:sz w:val="28"/>
          <w:szCs w:val="28"/>
        </w:rPr>
        <w:t xml:space="preserve">◆ </w:t>
      </w:r>
      <w:r>
        <w:rPr>
          <w:rFonts w:ascii="Georgia" w:cs="Georgia" w:eastAsia="Georgia" w:hAnsi="Georgia"/>
          <w:b/>
          <w:bCs/>
          <w:color w:val="232E4F"/>
          <w:sz w:val="28"/>
          <w:szCs w:val="28"/>
        </w:rPr>
        <w:t xml:space="preserve">Phase 0 — Entretien préalable (hors durée officielle)</w:t>
      </w:r>
    </w:p>
    <w:p>
      <w:pPr>
        <w:spacing w:after="40" w:before="40"/>
      </w:pPr>
      <w:r>
        <w:rPr>
          <w:rFonts w:ascii="Georgia" w:cs="Georgia" w:eastAsia="Georgia" w:hAnsi="Georgia"/>
          <w:color w:val="1E293B"/>
          <w:sz w:val="22"/>
          <w:szCs w:val="22"/>
        </w:rPr>
        <w:t xml:space="preserve">Objectif : recueillir la demande, vérifier l'adéquation au bilan de compétences, présenter la démarche et convenir des modalités. Durée : 1h. Modalité : téléphonique ou visio.</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2120"/>
        <w:gridCol w:w="1157"/>
        <w:gridCol w:w="5783"/>
      </w:tblGrid>
      <w:tr>
        <w:trPr>
          <w:tblHeader/>
        </w:trPr>
        <w:tc>
          <w:tcPr>
            <w:tcW w:type="dxa" w:w="578"/>
            <w:tcBorders>
              <w:top w:val="single" w:color="CCCCCC" w:sz="1"/>
              <w:left w:val="single" w:color="CCCCCC" w:sz="1"/>
              <w:bottom w:val="single" w:color="CCCCCC" w:sz="1"/>
              <w:right w:val="single" w:color="CCCCCC" w:sz="1"/>
            </w:tcBorders>
            <w:shd w:fill="232E4F" w:val="clear"/>
            <w:tcMar>
              <w:top w:type="dxa" w:w="80"/>
              <w:left w:type="dxa" w:w="80"/>
              <w:bottom w:type="dxa" w:w="80"/>
              <w:right w:type="dxa" w:w="80"/>
            </w:tcMar>
          </w:tcPr>
          <w:p>
            <w:pPr>
              <w:jc w:val="center"/>
            </w:pPr>
            <w:r>
              <w:rPr>
                <w:rFonts w:ascii="Georgia" w:cs="Georgia" w:eastAsia="Georgia" w:hAnsi="Georgia"/>
                <w:b/>
                <w:bCs/>
                <w:color w:val="FFFFFF"/>
                <w:sz w:val="28"/>
                <w:szCs w:val="28"/>
              </w:rPr>
              <w:t xml:space="preserve">N°</w:t>
            </w:r>
          </w:p>
        </w:tc>
        <w:tc>
          <w:tcPr>
            <w:tcW w:type="dxa" w:w="2120"/>
            <w:tcBorders>
              <w:top w:val="single" w:color="CCCCCC" w:sz="1"/>
              <w:left w:val="single" w:color="CCCCCC" w:sz="1"/>
              <w:bottom w:val="single" w:color="CCCCCC" w:sz="1"/>
              <w:right w:val="single" w:color="CCCCCC" w:sz="1"/>
            </w:tcBorders>
            <w:shd w:fill="232E4F" w:val="clear"/>
            <w:tcMar>
              <w:top w:type="dxa" w:w="80"/>
              <w:left w:type="dxa" w:w="80"/>
              <w:bottom w:type="dxa" w:w="80"/>
              <w:right w:type="dxa" w:w="80"/>
            </w:tcMar>
          </w:tcPr>
          <w:p>
            <w:pPr>
              <w:jc w:val="center"/>
            </w:pPr>
            <w:r>
              <w:rPr>
                <w:rFonts w:ascii="Georgia" w:cs="Georgia" w:eastAsia="Georgia" w:hAnsi="Georgia"/>
                <w:b/>
                <w:bCs/>
                <w:color w:val="FFFFFF"/>
                <w:sz w:val="28"/>
                <w:szCs w:val="28"/>
              </w:rPr>
              <w:t xml:space="preserve">Phase / Module</w:t>
            </w:r>
          </w:p>
        </w:tc>
        <w:tc>
          <w:tcPr>
            <w:tcW w:type="dxa" w:w="1157"/>
            <w:tcBorders>
              <w:top w:val="single" w:color="CCCCCC" w:sz="1"/>
              <w:left w:val="single" w:color="CCCCCC" w:sz="1"/>
              <w:bottom w:val="single" w:color="CCCCCC" w:sz="1"/>
              <w:right w:val="single" w:color="CCCCCC" w:sz="1"/>
            </w:tcBorders>
            <w:shd w:fill="232E4F" w:val="clear"/>
            <w:tcMar>
              <w:top w:type="dxa" w:w="80"/>
              <w:left w:type="dxa" w:w="80"/>
              <w:bottom w:type="dxa" w:w="80"/>
              <w:right w:type="dxa" w:w="80"/>
            </w:tcMar>
          </w:tcPr>
          <w:p>
            <w:pPr>
              <w:jc w:val="center"/>
            </w:pPr>
            <w:r>
              <w:rPr>
                <w:rFonts w:ascii="Georgia" w:cs="Georgia" w:eastAsia="Georgia" w:hAnsi="Georgia"/>
                <w:b/>
                <w:bCs/>
                <w:color w:val="FFFFFF"/>
                <w:sz w:val="28"/>
                <w:szCs w:val="28"/>
              </w:rPr>
              <w:t xml:space="preserve">Durée</w:t>
            </w:r>
          </w:p>
        </w:tc>
        <w:tc>
          <w:tcPr>
            <w:tcW w:type="dxa" w:w="5783"/>
            <w:tcBorders>
              <w:top w:val="single" w:color="CCCCCC" w:sz="1"/>
              <w:left w:val="single" w:color="CCCCCC" w:sz="1"/>
              <w:bottom w:val="single" w:color="CCCCCC" w:sz="1"/>
              <w:right w:val="single" w:color="CCCCCC" w:sz="1"/>
            </w:tcBorders>
            <w:shd w:fill="232E4F" w:val="clear"/>
            <w:tcMar>
              <w:top w:type="dxa" w:w="80"/>
              <w:left w:type="dxa" w:w="80"/>
              <w:bottom w:type="dxa" w:w="80"/>
              <w:right w:type="dxa" w:w="80"/>
            </w:tcMar>
          </w:tcPr>
          <w:p>
            <w:pPr>
              <w:jc w:val="center"/>
            </w:pPr>
            <w:r>
              <w:rPr>
                <w:rFonts w:ascii="Georgia" w:cs="Georgia" w:eastAsia="Georgia" w:hAnsi="Georgia"/>
                <w:b/>
                <w:bCs/>
                <w:color w:val="FFFFFF"/>
                <w:sz w:val="28"/>
                <w:szCs w:val="28"/>
              </w:rPr>
              <w:t xml:space="preserve">Contenu et objectifs opérationnels</w:t>
            </w:r>
          </w:p>
        </w:tc>
      </w:tr>
      <w:tr>
        <w:tc>
          <w:tcPr>
            <w:tcW w:type="dxa" w:w="578"/>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Georgia" w:cs="Georgia" w:eastAsia="Georgia" w:hAnsi="Georgia"/>
                <w:b w:val="false"/>
                <w:bCs w:val="false"/>
                <w:color w:val="D9A843"/>
                <w:sz w:val="28"/>
                <w:szCs w:val="28"/>
              </w:rPr>
              <w:t xml:space="preserve">Ph.1</w:t>
            </w:r>
          </w:p>
        </w:tc>
        <w:tc>
          <w:tcPr>
            <w:tcW w:type="dxa" w:w="21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left"/>
            </w:pPr>
            <w:r>
              <w:rPr>
                <w:rFonts w:ascii="Georgia" w:cs="Georgia" w:eastAsia="Georgia" w:hAnsi="Georgia"/>
                <w:b/>
                <w:bCs/>
                <w:color w:val="1E293B"/>
                <w:sz w:val="28"/>
                <w:szCs w:val="28"/>
              </w:rPr>
              <w:t xml:space="preserve">Phase préliminaire</w:t>
            </w:r>
          </w:p>
        </w:tc>
        <w:tc>
          <w:tcPr>
            <w:tcW w:type="dxa" w:w="1157"/>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Georgia" w:cs="Georgia" w:eastAsia="Georgia" w:hAnsi="Georgia"/>
                <w:b w:val="false"/>
                <w:bCs w:val="false"/>
                <w:color w:val="1E293B"/>
                <w:sz w:val="28"/>
                <w:szCs w:val="28"/>
              </w:rPr>
              <w:t xml:space="preserve">4h</w:t>
            </w:r>
          </w:p>
        </w:tc>
        <w:tc>
          <w:tcPr>
            <w:tcW w:type="dxa" w:w="578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left"/>
            </w:pPr>
            <w:r>
              <w:rPr>
                <w:rFonts w:ascii="Georgia" w:cs="Georgia" w:eastAsia="Georgia" w:hAnsi="Georgia"/>
                <w:b w:val="false"/>
                <w:bCs w:val="false"/>
                <w:color w:val="1E293B"/>
                <w:sz w:val="28"/>
                <w:szCs w:val="28"/>
              </w:rPr>
              <w:t xml:space="preserve">Analyse approfondie de la demande et du besoin · Définition des objectifs personnels du bilan · Co-élaboration du programme personnalisé · Formalisation des engagements réciproques · Remise du livret d'accompagnement</w:t>
            </w:r>
          </w:p>
        </w:tc>
      </w:tr>
      <w:tr>
        <w:tc>
          <w:tcPr>
            <w:tcW w:type="dxa" w:w="578"/>
            <w:tcBorders>
              <w:top w:val="single" w:color="CCCCCC" w:sz="1"/>
              <w:left w:val="single" w:color="CCCCCC" w:sz="1"/>
              <w:bottom w:val="single" w:color="CCCCCC" w:sz="1"/>
              <w:right w:val="single" w:color="CCCCCC" w:sz="1"/>
            </w:tcBorders>
            <w:shd w:fill="F5F4F0" w:val="clear"/>
            <w:tcMar>
              <w:top w:type="dxa" w:w="80"/>
              <w:left w:type="dxa" w:w="80"/>
              <w:bottom w:type="dxa" w:w="80"/>
              <w:right w:type="dxa" w:w="80"/>
            </w:tcMar>
          </w:tcPr>
          <w:p>
            <w:pPr>
              <w:jc w:val="center"/>
            </w:pPr>
            <w:r>
              <w:rPr>
                <w:rFonts w:ascii="Georgia" w:cs="Georgia" w:eastAsia="Georgia" w:hAnsi="Georgia"/>
                <w:b w:val="false"/>
                <w:bCs w:val="false"/>
                <w:color w:val="D9A843"/>
                <w:sz w:val="28"/>
                <w:szCs w:val="28"/>
              </w:rPr>
              <w:t xml:space="preserve">Ph.2</w:t>
            </w:r>
          </w:p>
        </w:tc>
        <w:tc>
          <w:tcPr>
            <w:tcW w:type="dxa" w:w="2120"/>
            <w:tcBorders>
              <w:top w:val="single" w:color="CCCCCC" w:sz="1"/>
              <w:left w:val="single" w:color="CCCCCC" w:sz="1"/>
              <w:bottom w:val="single" w:color="CCCCCC" w:sz="1"/>
              <w:right w:val="single" w:color="CCCCCC" w:sz="1"/>
            </w:tcBorders>
            <w:shd w:fill="F5F4F0" w:val="clear"/>
            <w:tcMar>
              <w:top w:type="dxa" w:w="80"/>
              <w:left w:type="dxa" w:w="80"/>
              <w:bottom w:type="dxa" w:w="80"/>
              <w:right w:type="dxa" w:w="80"/>
            </w:tcMar>
          </w:tcPr>
          <w:p>
            <w:pPr>
              <w:jc w:val="left"/>
            </w:pPr>
            <w:r>
              <w:rPr>
                <w:rFonts w:ascii="Georgia" w:cs="Georgia" w:eastAsia="Georgia" w:hAnsi="Georgia"/>
                <w:b/>
                <w:bCs/>
                <w:color w:val="1E293B"/>
                <w:sz w:val="28"/>
                <w:szCs w:val="28"/>
              </w:rPr>
              <w:t xml:space="preserve">Phase d'investigation
— Volet personnel</w:t>
            </w:r>
          </w:p>
        </w:tc>
        <w:tc>
          <w:tcPr>
            <w:tcW w:type="dxa" w:w="1157"/>
            <w:tcBorders>
              <w:top w:val="single" w:color="CCCCCC" w:sz="1"/>
              <w:left w:val="single" w:color="CCCCCC" w:sz="1"/>
              <w:bottom w:val="single" w:color="CCCCCC" w:sz="1"/>
              <w:right w:val="single" w:color="CCCCCC" w:sz="1"/>
            </w:tcBorders>
            <w:shd w:fill="F5F4F0" w:val="clear"/>
            <w:tcMar>
              <w:top w:type="dxa" w:w="80"/>
              <w:left w:type="dxa" w:w="80"/>
              <w:bottom w:type="dxa" w:w="80"/>
              <w:right w:type="dxa" w:w="80"/>
            </w:tcMar>
          </w:tcPr>
          <w:p>
            <w:pPr>
              <w:jc w:val="center"/>
            </w:pPr>
            <w:r>
              <w:rPr>
                <w:rFonts w:ascii="Georgia" w:cs="Georgia" w:eastAsia="Georgia" w:hAnsi="Georgia"/>
                <w:b w:val="false"/>
                <w:bCs w:val="false"/>
                <w:color w:val="1E293B"/>
                <w:sz w:val="28"/>
                <w:szCs w:val="28"/>
              </w:rPr>
              <w:t xml:space="preserve">6h</w:t>
            </w:r>
          </w:p>
        </w:tc>
        <w:tc>
          <w:tcPr>
            <w:tcW w:type="dxa" w:w="5783"/>
            <w:tcBorders>
              <w:top w:val="single" w:color="CCCCCC" w:sz="1"/>
              <w:left w:val="single" w:color="CCCCCC" w:sz="1"/>
              <w:bottom w:val="single" w:color="CCCCCC" w:sz="1"/>
              <w:right w:val="single" w:color="CCCCCC" w:sz="1"/>
            </w:tcBorders>
            <w:shd w:fill="F5F4F0" w:val="clear"/>
            <w:tcMar>
              <w:top w:type="dxa" w:w="80"/>
              <w:left w:type="dxa" w:w="80"/>
              <w:bottom w:type="dxa" w:w="80"/>
              <w:right w:type="dxa" w:w="80"/>
            </w:tcMar>
          </w:tcPr>
          <w:p>
            <w:pPr>
              <w:jc w:val="left"/>
            </w:pPr>
            <w:r>
              <w:rPr>
                <w:rFonts w:ascii="Georgia" w:cs="Georgia" w:eastAsia="Georgia" w:hAnsi="Georgia"/>
                <w:b w:val="false"/>
                <w:bCs w:val="false"/>
                <w:color w:val="1E293B"/>
                <w:sz w:val="28"/>
                <w:szCs w:val="28"/>
              </w:rPr>
              <w:t xml:space="preserve">Analyse du parcours professionnel et des expériences · Exploration des valeurs (test Schwartz) · Identification des intérêts professionnels (RIASEC) · Inventaire des compétences transférables · Évaluation de la personnalité et des modes de fonctionnement · Réflexion sur les équilibres de vie professionnelle et personnelle</w:t>
            </w:r>
          </w:p>
        </w:tc>
      </w:tr>
      <w:tr>
        <w:tc>
          <w:tcPr>
            <w:tcW w:type="dxa" w:w="578"/>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Georgia" w:cs="Georgia" w:eastAsia="Georgia" w:hAnsi="Georgia"/>
                <w:b w:val="false"/>
                <w:bCs w:val="false"/>
                <w:color w:val="D9A843"/>
                <w:sz w:val="28"/>
                <w:szCs w:val="28"/>
              </w:rPr>
              <w:t xml:space="preserve">Ph.3</w:t>
            </w:r>
          </w:p>
        </w:tc>
        <w:tc>
          <w:tcPr>
            <w:tcW w:type="dxa" w:w="21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left"/>
            </w:pPr>
            <w:r>
              <w:rPr>
                <w:rFonts w:ascii="Georgia" w:cs="Georgia" w:eastAsia="Georgia" w:hAnsi="Georgia"/>
                <w:b/>
                <w:bCs/>
                <w:color w:val="1E293B"/>
                <w:sz w:val="28"/>
                <w:szCs w:val="28"/>
              </w:rPr>
              <w:t xml:space="preserve">Phase d'investigation
— Volet projet</w:t>
            </w:r>
          </w:p>
        </w:tc>
        <w:tc>
          <w:tcPr>
            <w:tcW w:type="dxa" w:w="1157"/>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Georgia" w:cs="Georgia" w:eastAsia="Georgia" w:hAnsi="Georgia"/>
                <w:b w:val="false"/>
                <w:bCs w:val="false"/>
                <w:color w:val="1E293B"/>
                <w:sz w:val="28"/>
                <w:szCs w:val="28"/>
              </w:rPr>
              <w:t xml:space="preserve">8h</w:t>
            </w:r>
          </w:p>
        </w:tc>
        <w:tc>
          <w:tcPr>
            <w:tcW w:type="dxa" w:w="578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left"/>
            </w:pPr>
            <w:r>
              <w:rPr>
                <w:rFonts w:ascii="Georgia" w:cs="Georgia" w:eastAsia="Georgia" w:hAnsi="Georgia"/>
                <w:b w:val="false"/>
                <w:bCs w:val="false"/>
                <w:color w:val="1E293B"/>
                <w:sz w:val="28"/>
                <w:szCs w:val="28"/>
              </w:rPr>
              <w:t xml:space="preserve">Exploration et validation des pistes d'évolution · Analyse du marché de l'emploi et des formations (région PACA) · Enquêtes métiers et rencontres professionnelles guidées · Validation de la faisabilité du ou des projets · Identification des étapes de formation / montée en compétences · Rédaction collaborative du document de synthèse</w:t>
            </w:r>
          </w:p>
        </w:tc>
      </w:tr>
      <w:tr>
        <w:tc>
          <w:tcPr>
            <w:tcW w:type="dxa" w:w="578"/>
            <w:tcBorders>
              <w:top w:val="single" w:color="CCCCCC" w:sz="1"/>
              <w:left w:val="single" w:color="CCCCCC" w:sz="1"/>
              <w:bottom w:val="single" w:color="CCCCCC" w:sz="1"/>
              <w:right w:val="single" w:color="CCCCCC" w:sz="1"/>
            </w:tcBorders>
            <w:shd w:fill="F5F4F0" w:val="clear"/>
            <w:tcMar>
              <w:top w:type="dxa" w:w="80"/>
              <w:left w:type="dxa" w:w="80"/>
              <w:bottom w:type="dxa" w:w="80"/>
              <w:right w:type="dxa" w:w="80"/>
            </w:tcMar>
          </w:tcPr>
          <w:p>
            <w:pPr>
              <w:jc w:val="center"/>
            </w:pPr>
            <w:r>
              <w:rPr>
                <w:rFonts w:ascii="Georgia" w:cs="Georgia" w:eastAsia="Georgia" w:hAnsi="Georgia"/>
                <w:b w:val="false"/>
                <w:bCs w:val="false"/>
                <w:color w:val="D9A843"/>
                <w:sz w:val="28"/>
                <w:szCs w:val="28"/>
              </w:rPr>
              <w:t xml:space="preserve">Ph.4</w:t>
            </w:r>
          </w:p>
        </w:tc>
        <w:tc>
          <w:tcPr>
            <w:tcW w:type="dxa" w:w="2120"/>
            <w:tcBorders>
              <w:top w:val="single" w:color="CCCCCC" w:sz="1"/>
              <w:left w:val="single" w:color="CCCCCC" w:sz="1"/>
              <w:bottom w:val="single" w:color="CCCCCC" w:sz="1"/>
              <w:right w:val="single" w:color="CCCCCC" w:sz="1"/>
            </w:tcBorders>
            <w:shd w:fill="F5F4F0" w:val="clear"/>
            <w:tcMar>
              <w:top w:type="dxa" w:w="80"/>
              <w:left w:type="dxa" w:w="80"/>
              <w:bottom w:type="dxa" w:w="80"/>
              <w:right w:type="dxa" w:w="80"/>
            </w:tcMar>
          </w:tcPr>
          <w:p>
            <w:pPr>
              <w:jc w:val="left"/>
            </w:pPr>
            <w:r>
              <w:rPr>
                <w:rFonts w:ascii="Georgia" w:cs="Georgia" w:eastAsia="Georgia" w:hAnsi="Georgia"/>
                <w:b/>
                <w:bCs/>
                <w:color w:val="1E293B"/>
                <w:sz w:val="28"/>
                <w:szCs w:val="28"/>
              </w:rPr>
              <w:t xml:space="preserve">Phase de conclusion</w:t>
            </w:r>
          </w:p>
        </w:tc>
        <w:tc>
          <w:tcPr>
            <w:tcW w:type="dxa" w:w="1157"/>
            <w:tcBorders>
              <w:top w:val="single" w:color="CCCCCC" w:sz="1"/>
              <w:left w:val="single" w:color="CCCCCC" w:sz="1"/>
              <w:bottom w:val="single" w:color="CCCCCC" w:sz="1"/>
              <w:right w:val="single" w:color="CCCCCC" w:sz="1"/>
            </w:tcBorders>
            <w:shd w:fill="F5F4F0" w:val="clear"/>
            <w:tcMar>
              <w:top w:type="dxa" w:w="80"/>
              <w:left w:type="dxa" w:w="80"/>
              <w:bottom w:type="dxa" w:w="80"/>
              <w:right w:type="dxa" w:w="80"/>
            </w:tcMar>
          </w:tcPr>
          <w:p>
            <w:pPr>
              <w:jc w:val="center"/>
            </w:pPr>
            <w:r>
              <w:rPr>
                <w:rFonts w:ascii="Georgia" w:cs="Georgia" w:eastAsia="Georgia" w:hAnsi="Georgia"/>
                <w:b w:val="false"/>
                <w:bCs w:val="false"/>
                <w:color w:val="1E293B"/>
                <w:sz w:val="28"/>
                <w:szCs w:val="28"/>
              </w:rPr>
              <w:t xml:space="preserve">4h</w:t>
            </w:r>
          </w:p>
        </w:tc>
        <w:tc>
          <w:tcPr>
            <w:tcW w:type="dxa" w:w="5783"/>
            <w:tcBorders>
              <w:top w:val="single" w:color="CCCCCC" w:sz="1"/>
              <w:left w:val="single" w:color="CCCCCC" w:sz="1"/>
              <w:bottom w:val="single" w:color="CCCCCC" w:sz="1"/>
              <w:right w:val="single" w:color="CCCCCC" w:sz="1"/>
            </w:tcBorders>
            <w:shd w:fill="F5F4F0" w:val="clear"/>
            <w:tcMar>
              <w:top w:type="dxa" w:w="80"/>
              <w:left w:type="dxa" w:w="80"/>
              <w:bottom w:type="dxa" w:w="80"/>
              <w:right w:type="dxa" w:w="80"/>
            </w:tcMar>
          </w:tcPr>
          <w:p>
            <w:pPr>
              <w:jc w:val="left"/>
            </w:pPr>
            <w:r>
              <w:rPr>
                <w:rFonts w:ascii="Georgia" w:cs="Georgia" w:eastAsia="Georgia" w:hAnsi="Georgia"/>
                <w:b w:val="false"/>
                <w:bCs w:val="false"/>
                <w:color w:val="1E293B"/>
                <w:sz w:val="28"/>
                <w:szCs w:val="28"/>
              </w:rPr>
              <w:t xml:space="preserve">Appropriation des résultats de l'investigation · Recensement des conditions de réalisation du projet · Élaboration du plan d'action détaillé · Co-rédaction et remise du document de synthèse · Définition des suites et des ressources mobilisables</w:t>
            </w:r>
          </w:p>
        </w:tc>
      </w:tr>
      <w:tr>
        <w:tc>
          <w:tcPr>
            <w:tcW w:type="dxa" w:w="578"/>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Georgia" w:cs="Georgia" w:eastAsia="Georgia" w:hAnsi="Georgia"/>
                <w:b w:val="false"/>
                <w:bCs w:val="false"/>
                <w:color w:val="D9A843"/>
                <w:sz w:val="28"/>
                <w:szCs w:val="28"/>
              </w:rPr>
              <w:t xml:space="preserve">Ph.5</w:t>
            </w:r>
          </w:p>
        </w:tc>
        <w:tc>
          <w:tcPr>
            <w:tcW w:type="dxa" w:w="21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left"/>
            </w:pPr>
            <w:r>
              <w:rPr>
                <w:rFonts w:ascii="Georgia" w:cs="Georgia" w:eastAsia="Georgia" w:hAnsi="Georgia"/>
                <w:b/>
                <w:bCs/>
                <w:color w:val="1E293B"/>
                <w:sz w:val="28"/>
                <w:szCs w:val="28"/>
              </w:rPr>
              <w:t xml:space="preserve">Suivi à 6 mois</w:t>
            </w:r>
          </w:p>
        </w:tc>
        <w:tc>
          <w:tcPr>
            <w:tcW w:type="dxa" w:w="1157"/>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Georgia" w:cs="Georgia" w:eastAsia="Georgia" w:hAnsi="Georgia"/>
                <w:b w:val="false"/>
                <w:bCs w:val="false"/>
                <w:color w:val="1E293B"/>
                <w:sz w:val="28"/>
                <w:szCs w:val="28"/>
              </w:rPr>
              <w:t xml:space="preserve">1h</w:t>
            </w:r>
          </w:p>
        </w:tc>
        <w:tc>
          <w:tcPr>
            <w:tcW w:type="dxa" w:w="578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left"/>
            </w:pPr>
            <w:r>
              <w:rPr>
                <w:rFonts w:ascii="Georgia" w:cs="Georgia" w:eastAsia="Georgia" w:hAnsi="Georgia"/>
                <w:b w:val="false"/>
                <w:bCs w:val="false"/>
                <w:color w:val="1E293B"/>
                <w:sz w:val="28"/>
                <w:szCs w:val="28"/>
              </w:rPr>
              <w:t xml:space="preserve">Entretien de suivi proposé systématiquement (inclus dans la prestation) · Bilan du plan d'action · Ajustements si nécessaire · Questionnaire de satisfaction à froid (M+6)</w:t>
            </w:r>
          </w:p>
        </w:tc>
      </w:tr>
    </w:tbl>
    <w:p>
      <w:r>
        <w:t xml:space="preserve"/>
      </w:r>
    </w:p>
    <w:p>
      <w:pPr>
        <w:pBdr>
          <w:bottom w:val="single" w:color="D9A843" w:sz="8"/>
        </w:pBdr>
        <w:spacing w:after="100" w:before="220"/>
      </w:pPr>
      <w:r>
        <w:rPr>
          <w:rFonts w:ascii="Georgia" w:cs="Georgia" w:eastAsia="Georgia" w:hAnsi="Georgia"/>
          <w:b/>
          <w:bCs/>
          <w:color w:val="232E4F"/>
          <w:sz w:val="28"/>
          <w:szCs w:val="28"/>
        </w:rPr>
        <w:t xml:space="preserve">5. Méthodes, outils et modalités pédagogiques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0"/>
            <w:tcBorders>
              <w:top w:val="single" w:color="CCCCCC" w:sz="1"/>
              <w:left w:val="single" w:color="CCCCCC" w:sz="1"/>
              <w:bottom w:val="single" w:color="CCCCCC" w:sz="1"/>
              <w:right w:val="single" w:color="CCCCCC" w:sz="1"/>
            </w:tcBorders>
            <w:shd w:fill="232E4F" w:val="clear"/>
            <w:tcMar>
              <w:top w:type="dxa" w:w="80"/>
              <w:left w:type="dxa" w:w="120"/>
              <w:bottom w:type="dxa" w:w="80"/>
              <w:right w:type="dxa" w:w="80"/>
            </w:tcMar>
          </w:tcPr>
          <w:p>
            <w:r>
              <w:rPr>
                <w:rFonts w:ascii="Georgia" w:cs="Georgia" w:eastAsia="Georgia" w:hAnsi="Georgia"/>
                <w:b/>
                <w:bCs/>
                <w:color w:val="FFFFFF"/>
                <w:sz w:val="28"/>
                <w:szCs w:val="28"/>
              </w:rPr>
              <w:t xml:space="preserve">Méthode</w:t>
            </w:r>
          </w:p>
        </w:tc>
        <w:tc>
          <w:tcPr>
            <w:tcW w:type="dxa" w:w="0"/>
            <w:tcBorders>
              <w:top w:val="single" w:color="CCCCCC" w:sz="1"/>
              <w:left w:val="single" w:color="CCCCCC" w:sz="1"/>
              <w:bottom w:val="single" w:color="CCCCCC" w:sz="1"/>
              <w:right w:val="single" w:color="CCCCCC" w:sz="1"/>
            </w:tcBorders>
            <w:shd w:fill="232E4F" w:val="clear"/>
            <w:tcMar>
              <w:top w:type="dxa" w:w="80"/>
              <w:left w:type="dxa" w:w="120"/>
              <w:bottom w:type="dxa" w:w="80"/>
              <w:right w:type="dxa" w:w="80"/>
            </w:tcMar>
          </w:tcPr>
          <w:p>
            <w:r>
              <w:rPr>
                <w:rFonts w:ascii="Georgia" w:cs="Georgia" w:eastAsia="Georgia" w:hAnsi="Georgia"/>
                <w:b/>
                <w:bCs/>
                <w:color w:val="FFFFFF"/>
                <w:sz w:val="28"/>
                <w:szCs w:val="28"/>
              </w:rPr>
              <w:t xml:space="preserve">Détail</w:t>
            </w:r>
          </w:p>
        </w:tc>
      </w:tr>
      <w:tr>
        <w:tc>
          <w:tcPr>
            <w:tcW w:type="dxa" w:w="2891"/>
            <w:tcBorders>
              <w:top w:val="single" w:color="CCCCCC" w:sz="1"/>
              <w:left w:val="single" w:color="CCCCCC" w:sz="1"/>
              <w:bottom w:val="single" w:color="CCCCCC" w:sz="1"/>
              <w:right w:val="single" w:color="CCCCCC" w:sz="1"/>
            </w:tcBorders>
            <w:shd w:fill="F5F4F0" w:val="clear"/>
            <w:tcMar>
              <w:top w:type="dxa" w:w="80"/>
              <w:left w:type="dxa" w:w="120"/>
              <w:bottom w:type="dxa" w:w="80"/>
              <w:right w:type="dxa" w:w="80"/>
            </w:tcMar>
          </w:tcPr>
          <w:p>
            <w:r>
              <w:rPr>
                <w:rFonts w:ascii="Georgia" w:cs="Georgia" w:eastAsia="Georgia" w:hAnsi="Georgia"/>
                <w:b/>
                <w:bCs/>
                <w:color w:val="18478D"/>
                <w:sz w:val="28"/>
                <w:szCs w:val="28"/>
              </w:rPr>
              <w:t xml:space="preserve">Entretiens individuels</w:t>
            </w:r>
          </w:p>
        </w:tc>
        <w:tc>
          <w:tcPr>
            <w:tcW w:type="dxa" w:w="674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Georgia" w:cs="Georgia" w:eastAsia="Georgia" w:hAnsi="Georgia"/>
                <w:color w:val="1E293B"/>
                <w:sz w:val="28"/>
                <w:szCs w:val="28"/>
              </w:rPr>
              <w:t xml:space="preserve">Méthode socratique et d'explicitation — 100% individualisée — Séances de 2h maximum</w:t>
            </w:r>
          </w:p>
        </w:tc>
      </w:tr>
      <w:tr>
        <w:tc>
          <w:tcPr>
            <w:tcW w:type="dxa" w:w="2891"/>
            <w:tcBorders>
              <w:top w:val="single" w:color="CCCCCC" w:sz="1"/>
              <w:left w:val="single" w:color="CCCCCC" w:sz="1"/>
              <w:bottom w:val="single" w:color="CCCCCC" w:sz="1"/>
              <w:right w:val="single" w:color="CCCCCC" w:sz="1"/>
            </w:tcBorders>
            <w:shd w:fill="F0EFE8" w:val="clear"/>
            <w:tcMar>
              <w:top w:type="dxa" w:w="80"/>
              <w:left w:type="dxa" w:w="120"/>
              <w:bottom w:type="dxa" w:w="80"/>
              <w:right w:type="dxa" w:w="80"/>
            </w:tcMar>
          </w:tcPr>
          <w:p>
            <w:r>
              <w:rPr>
                <w:rFonts w:ascii="Georgia" w:cs="Georgia" w:eastAsia="Georgia" w:hAnsi="Georgia"/>
                <w:b/>
                <w:bCs/>
                <w:color w:val="18478D"/>
                <w:sz w:val="28"/>
                <w:szCs w:val="28"/>
              </w:rPr>
              <w:t xml:space="preserve">Tests psychométriques</w:t>
            </w:r>
          </w:p>
        </w:tc>
        <w:tc>
          <w:tcPr>
            <w:tcW w:type="dxa" w:w="6747"/>
            <w:tcBorders>
              <w:top w:val="single" w:color="CCCCCC" w:sz="1"/>
              <w:left w:val="single" w:color="CCCCCC" w:sz="1"/>
              <w:bottom w:val="single" w:color="CCCCCC" w:sz="1"/>
              <w:right w:val="single" w:color="CCCCCC" w:sz="1"/>
            </w:tcBorders>
            <w:shd w:fill="FAFAF8" w:val="clear"/>
            <w:tcMar>
              <w:top w:type="dxa" w:w="80"/>
              <w:left w:type="dxa" w:w="120"/>
              <w:bottom w:type="dxa" w:w="80"/>
              <w:right w:type="dxa" w:w="80"/>
            </w:tcMar>
          </w:tcPr>
          <w:p>
            <w:r>
              <w:rPr>
                <w:rFonts w:ascii="Georgia" w:cs="Georgia" w:eastAsia="Georgia" w:hAnsi="Georgia"/>
                <w:color w:val="1E293B"/>
                <w:sz w:val="28"/>
                <w:szCs w:val="28"/>
              </w:rPr>
              <w:t xml:space="preserve">RIASEC (Holland), Test des Valeurs (Schwartz), Questionnaire de personnalité</w:t>
            </w:r>
          </w:p>
        </w:tc>
      </w:tr>
      <w:tr>
        <w:tc>
          <w:tcPr>
            <w:tcW w:type="dxa" w:w="2891"/>
            <w:tcBorders>
              <w:top w:val="single" w:color="CCCCCC" w:sz="1"/>
              <w:left w:val="single" w:color="CCCCCC" w:sz="1"/>
              <w:bottom w:val="single" w:color="CCCCCC" w:sz="1"/>
              <w:right w:val="single" w:color="CCCCCC" w:sz="1"/>
            </w:tcBorders>
            <w:shd w:fill="F5F4F0" w:val="clear"/>
            <w:tcMar>
              <w:top w:type="dxa" w:w="80"/>
              <w:left w:type="dxa" w:w="120"/>
              <w:bottom w:type="dxa" w:w="80"/>
              <w:right w:type="dxa" w:w="80"/>
            </w:tcMar>
          </w:tcPr>
          <w:p>
            <w:r>
              <w:rPr>
                <w:rFonts w:ascii="Georgia" w:cs="Georgia" w:eastAsia="Georgia" w:hAnsi="Georgia"/>
                <w:b/>
                <w:bCs/>
                <w:color w:val="18478D"/>
                <w:sz w:val="28"/>
                <w:szCs w:val="28"/>
              </w:rPr>
              <w:t xml:space="preserve">Auto-évaluation guidée</w:t>
            </w:r>
          </w:p>
        </w:tc>
        <w:tc>
          <w:tcPr>
            <w:tcW w:type="dxa" w:w="674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Georgia" w:cs="Georgia" w:eastAsia="Georgia" w:hAnsi="Georgia"/>
                <w:color w:val="1E293B"/>
                <w:sz w:val="28"/>
                <w:szCs w:val="28"/>
              </w:rPr>
              <w:t xml:space="preserve">Grilles de compétences, questionnaires d'intérêts, outils de réflexivité</w:t>
            </w:r>
          </w:p>
        </w:tc>
      </w:tr>
      <w:tr>
        <w:tc>
          <w:tcPr>
            <w:tcW w:type="dxa" w:w="2891"/>
            <w:tcBorders>
              <w:top w:val="single" w:color="CCCCCC" w:sz="1"/>
              <w:left w:val="single" w:color="CCCCCC" w:sz="1"/>
              <w:bottom w:val="single" w:color="CCCCCC" w:sz="1"/>
              <w:right w:val="single" w:color="CCCCCC" w:sz="1"/>
            </w:tcBorders>
            <w:shd w:fill="F0EFE8" w:val="clear"/>
            <w:tcMar>
              <w:top w:type="dxa" w:w="80"/>
              <w:left w:type="dxa" w:w="120"/>
              <w:bottom w:type="dxa" w:w="80"/>
              <w:right w:type="dxa" w:w="80"/>
            </w:tcMar>
          </w:tcPr>
          <w:p>
            <w:r>
              <w:rPr>
                <w:rFonts w:ascii="Georgia" w:cs="Georgia" w:eastAsia="Georgia" w:hAnsi="Georgia"/>
                <w:b/>
                <w:bCs/>
                <w:color w:val="18478D"/>
                <w:sz w:val="28"/>
                <w:szCs w:val="28"/>
              </w:rPr>
              <w:t xml:space="preserve">Exploration documentaire</w:t>
            </w:r>
          </w:p>
        </w:tc>
        <w:tc>
          <w:tcPr>
            <w:tcW w:type="dxa" w:w="6747"/>
            <w:tcBorders>
              <w:top w:val="single" w:color="CCCCCC" w:sz="1"/>
              <w:left w:val="single" w:color="CCCCCC" w:sz="1"/>
              <w:bottom w:val="single" w:color="CCCCCC" w:sz="1"/>
              <w:right w:val="single" w:color="CCCCCC" w:sz="1"/>
            </w:tcBorders>
            <w:shd w:fill="FAFAF8" w:val="clear"/>
            <w:tcMar>
              <w:top w:type="dxa" w:w="80"/>
              <w:left w:type="dxa" w:w="120"/>
              <w:bottom w:type="dxa" w:w="80"/>
              <w:right w:type="dxa" w:w="80"/>
            </w:tcMar>
          </w:tcPr>
          <w:p>
            <w:r>
              <w:rPr>
                <w:rFonts w:ascii="Georgia" w:cs="Georgia" w:eastAsia="Georgia" w:hAnsi="Georgia"/>
                <w:color w:val="1E293B"/>
                <w:sz w:val="28"/>
                <w:szCs w:val="28"/>
              </w:rPr>
              <w:t xml:space="preserve">Fiches métiers ONISEP/France Travail, études de marché PACA, bases de données formation</w:t>
            </w:r>
          </w:p>
        </w:tc>
      </w:tr>
      <w:tr>
        <w:tc>
          <w:tcPr>
            <w:tcW w:type="dxa" w:w="2891"/>
            <w:tcBorders>
              <w:top w:val="single" w:color="CCCCCC" w:sz="1"/>
              <w:left w:val="single" w:color="CCCCCC" w:sz="1"/>
              <w:bottom w:val="single" w:color="CCCCCC" w:sz="1"/>
              <w:right w:val="single" w:color="CCCCCC" w:sz="1"/>
            </w:tcBorders>
            <w:shd w:fill="F5F4F0" w:val="clear"/>
            <w:tcMar>
              <w:top w:type="dxa" w:w="80"/>
              <w:left w:type="dxa" w:w="120"/>
              <w:bottom w:type="dxa" w:w="80"/>
              <w:right w:type="dxa" w:w="80"/>
            </w:tcMar>
          </w:tcPr>
          <w:p>
            <w:r>
              <w:rPr>
                <w:rFonts w:ascii="Georgia" w:cs="Georgia" w:eastAsia="Georgia" w:hAnsi="Georgia"/>
                <w:b/>
                <w:bCs/>
                <w:color w:val="18478D"/>
                <w:sz w:val="28"/>
                <w:szCs w:val="28"/>
              </w:rPr>
              <w:t xml:space="preserve">Livret d'accompagnement</w:t>
            </w:r>
          </w:p>
        </w:tc>
        <w:tc>
          <w:tcPr>
            <w:tcW w:type="dxa" w:w="674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Georgia" w:cs="Georgia" w:eastAsia="Georgia" w:hAnsi="Georgia"/>
                <w:color w:val="1E293B"/>
                <w:sz w:val="28"/>
                <w:szCs w:val="28"/>
              </w:rPr>
              <w:t xml:space="preserve">Support de travail individuel remis dès la phase préliminaire (numérique et/ou papier)</w:t>
            </w:r>
          </w:p>
        </w:tc>
      </w:tr>
      <w:tr>
        <w:tc>
          <w:tcPr>
            <w:tcW w:type="dxa" w:w="2891"/>
            <w:tcBorders>
              <w:top w:val="single" w:color="CCCCCC" w:sz="1"/>
              <w:left w:val="single" w:color="CCCCCC" w:sz="1"/>
              <w:bottom w:val="single" w:color="CCCCCC" w:sz="1"/>
              <w:right w:val="single" w:color="CCCCCC" w:sz="1"/>
            </w:tcBorders>
            <w:shd w:fill="F0EFE8" w:val="clear"/>
            <w:tcMar>
              <w:top w:type="dxa" w:w="80"/>
              <w:left w:type="dxa" w:w="120"/>
              <w:bottom w:type="dxa" w:w="80"/>
              <w:right w:type="dxa" w:w="80"/>
            </w:tcMar>
          </w:tcPr>
          <w:p>
            <w:r>
              <w:rPr>
                <w:rFonts w:ascii="Georgia" w:cs="Georgia" w:eastAsia="Georgia" w:hAnsi="Georgia"/>
                <w:b/>
                <w:bCs/>
                <w:color w:val="18478D"/>
                <w:sz w:val="28"/>
                <w:szCs w:val="28"/>
              </w:rPr>
              <w:t xml:space="preserve">Plateforme numérique</w:t>
            </w:r>
          </w:p>
        </w:tc>
        <w:tc>
          <w:tcPr>
            <w:tcW w:type="dxa" w:w="6747"/>
            <w:tcBorders>
              <w:top w:val="single" w:color="CCCCCC" w:sz="1"/>
              <w:left w:val="single" w:color="CCCCCC" w:sz="1"/>
              <w:bottom w:val="single" w:color="CCCCCC" w:sz="1"/>
              <w:right w:val="single" w:color="CCCCCC" w:sz="1"/>
            </w:tcBorders>
            <w:shd w:fill="FAFAF8" w:val="clear"/>
            <w:tcMar>
              <w:top w:type="dxa" w:w="80"/>
              <w:left w:type="dxa" w:w="120"/>
              <w:bottom w:type="dxa" w:w="80"/>
              <w:right w:type="dxa" w:w="80"/>
            </w:tcMar>
          </w:tcPr>
          <w:p>
            <w:r>
              <w:rPr>
                <w:rFonts w:ascii="Georgia" w:cs="Georgia" w:eastAsia="Georgia" w:hAnsi="Georgia"/>
                <w:color w:val="1E293B"/>
                <w:sz w:val="28"/>
                <w:szCs w:val="28"/>
              </w:rPr>
              <w:t xml:space="preserve">Supports partagés en ligne · Visioconférence Teams ou Zoom · Messagerie sécurisée</w:t>
            </w:r>
          </w:p>
        </w:tc>
      </w:tr>
    </w:tbl>
    <w:p>
      <w:r>
        <w:t xml:space="preserve"/>
      </w:r>
    </w:p>
    <w:p>
      <w:pPr>
        <w:pBdr>
          <w:bottom w:val="single" w:color="D9A843" w:sz="8"/>
        </w:pBdr>
        <w:spacing w:after="100" w:before="220"/>
      </w:pPr>
      <w:r>
        <w:rPr>
          <w:rFonts w:ascii="Georgia" w:cs="Georgia" w:eastAsia="Georgia" w:hAnsi="Georgia"/>
          <w:b/>
          <w:bCs/>
          <w:color w:val="232E4F"/>
          <w:sz w:val="28"/>
          <w:szCs w:val="28"/>
        </w:rPr>
        <w:t xml:space="preserve">6. Modalités d'évaluation et résultats (EDOF)</w:t>
      </w:r>
    </w:p>
    <w:p>
      <w:pPr>
        <w:spacing w:after="70" w:before="160"/>
      </w:pPr>
      <w:r>
        <w:rPr>
          <w:rFonts w:ascii="Georgia" w:cs="Georgia" w:eastAsia="Georgia" w:hAnsi="Georgia"/>
          <w:b/>
          <w:bCs/>
          <w:color w:val="D9A843"/>
          <w:sz w:val="28"/>
          <w:szCs w:val="28"/>
        </w:rPr>
        <w:t xml:space="preserve">◆ </w:t>
      </w:r>
      <w:r>
        <w:rPr>
          <w:rFonts w:ascii="Georgia" w:cs="Georgia" w:eastAsia="Georgia" w:hAnsi="Georgia"/>
          <w:b/>
          <w:bCs/>
          <w:color w:val="232E4F"/>
          <w:sz w:val="28"/>
          <w:szCs w:val="28"/>
        </w:rPr>
        <w:t xml:space="preserve">6.1 Évaluation de l'atteinte des objectifs</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Grille de bilan de compétences complétée à chaque phase (acquis, en cours, à développer)</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Document de synthèse co-rédigé et validé par le bénéficiaire en phase de conclusion</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Plan d'action personnel avec indicateurs de réalisation mesurables</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Entretien de suivi à 6 mois pour évaluer l'impact réel du bilan</w:t>
      </w:r>
    </w:p>
    <w:p>
      <w:r>
        <w:t xml:space="preserve"/>
      </w:r>
    </w:p>
    <w:p>
      <w:pPr>
        <w:spacing w:after="70" w:before="160"/>
      </w:pPr>
      <w:r>
        <w:rPr>
          <w:rFonts w:ascii="Georgia" w:cs="Georgia" w:eastAsia="Georgia" w:hAnsi="Georgia"/>
          <w:b/>
          <w:bCs/>
          <w:color w:val="D9A843"/>
          <w:sz w:val="28"/>
          <w:szCs w:val="28"/>
        </w:rPr>
        <w:t xml:space="preserve">◆ </w:t>
      </w:r>
      <w:r>
        <w:rPr>
          <w:rFonts w:ascii="Georgia" w:cs="Georgia" w:eastAsia="Georgia" w:hAnsi="Georgia"/>
          <w:b/>
          <w:bCs/>
          <w:color w:val="232E4F"/>
          <w:sz w:val="28"/>
          <w:szCs w:val="28"/>
        </w:rPr>
        <w:t xml:space="preserve">6.2 Indicateurs de résultats publiés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Taux de satisfaction global</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 9/10 (objectif) — Données 2025 : 9,0/10 — Source : questionnaires à chaud</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Taux de satisfaction ≥ 7/10</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100 % (objectif ≥ 80 %) — Données 2025 : 100 %</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Taux de bénéficiaires ayant défini un projet</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 95 % — Données 2025 : 100 %</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Taux de mise en œuvre du plan d'action (M+6)</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 70 % — Données en cours de consolidation 2025</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Délai moyen de réalisation</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3 à 4 mois selon le format choisi</w:t>
            </w:r>
          </w:p>
        </w:tc>
      </w:tr>
    </w:tbl>
    <w:p>
      <w:r>
        <w:t xml:space="preserve"/>
      </w:r>
    </w:p>
    <w:p>
      <w:pPr>
        <w:pBdr>
          <w:bottom w:val="single" w:color="D9A843" w:sz="8"/>
        </w:pBdr>
        <w:spacing w:after="100" w:before="220"/>
      </w:pPr>
      <w:r>
        <w:rPr>
          <w:rFonts w:ascii="Georgia" w:cs="Georgia" w:eastAsia="Georgia" w:hAnsi="Georgia"/>
          <w:b/>
          <w:bCs/>
          <w:color w:val="232E4F"/>
          <w:sz w:val="28"/>
          <w:szCs w:val="28"/>
        </w:rPr>
        <w:t xml:space="preserve">7. Accessibilité aux publics en situation de handicap (PSH)</w:t>
      </w:r>
    </w:p>
    <w:p>
      <w:pPr>
        <w:spacing w:after="40" w:before="40"/>
      </w:pPr>
      <w:r>
        <w:rPr>
          <w:rFonts w:ascii="Georgia" w:cs="Georgia" w:eastAsia="Georgia" w:hAnsi="Georgia"/>
          <w:color w:val="1E293B"/>
          <w:sz w:val="22"/>
          <w:szCs w:val="22"/>
        </w:rPr>
        <w:t xml:space="preserve">MaïeutiCap s'engage à adapter ses prestations à chaque situation de handicap. Meryem Vitré est référente handicap (formation AFDAS). Toute situation particulière est à signaler lors de l'entretien préalable.</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Modalités distancielles accessibles (téléphone, visio, supports adaptés)</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Documents et supports adaptables (grande police, version audio, braille sur demande)</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Durée des séances modulable selon les besoins</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Partenariats avec des acteurs du handicap locaux (Cap Emploi PACA, AGEFIPH)</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Questionnaire PSH remis dès l'entretien préalable pour anticiper les adaptations</w:t>
      </w:r>
    </w:p>
    <w:p>
      <w:r>
        <w:t xml:space="preserve"/>
      </w:r>
    </w:p>
    <w:p>
      <w:pPr>
        <w:pBdr>
          <w:bottom w:val="single" w:color="D9A843" w:sz="8"/>
        </w:pBdr>
        <w:spacing w:after="100" w:before="220"/>
      </w:pPr>
      <w:r>
        <w:rPr>
          <w:rFonts w:ascii="Georgia" w:cs="Georgia" w:eastAsia="Georgia" w:hAnsi="Georgia"/>
          <w:b/>
          <w:bCs/>
          <w:color w:val="232E4F"/>
          <w:sz w:val="28"/>
          <w:szCs w:val="28"/>
        </w:rPr>
        <w:t xml:space="preserve">8. Conditions tarifaires et financements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Tarif format 24h</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1 800 € HT / 2 160 € TTC (TVA non applicable — Art. 261.4.4 CGI)</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Financement CPF</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Éligible Mon Compte Formation — Prise en charge intégrale possible</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Financement OPCO</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Selon accord de prise en charge de l'employeur</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Financement France Travail</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Possible pour demandeurs d'emploi (AIF)</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Financement personnel</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Paiement en 3 fois sans frais accepté</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Contact pour devis</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contact@maieuticap.fr — 06 76 07 83 70</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3213"/>
        <w:gridCol w:w="3213"/>
      </w:tblGrid>
      <w:tr>
        <w:tc>
          <w:tcPr>
            <w:tcW w:type="dxa" w:w="3213"/>
            <w:tcBorders>
              <w:top w:val="single" w:color="CCCCCC" w:sz="1"/>
              <w:left w:val="single" w:color="CCCCCC" w:sz="1"/>
              <w:bottom w:val="single" w:color="CCCCCC" w:sz="1"/>
              <w:right w:val="single" w:color="CCCCCC" w:sz="1"/>
            </w:tcBorders>
            <w:shd w:fill="F5F4F0" w:val="clear"/>
            <w:tcMar>
              <w:top w:type="dxa" w:w="100"/>
              <w:left w:type="dxa" w:w="120"/>
              <w:bottom w:type="dxa" w:w="140"/>
              <w:right w:type="dxa" w:w="120"/>
            </w:tcMar>
          </w:tcPr>
          <w:p>
            <w:r>
              <w:rPr>
                <w:rFonts w:ascii="Georgia" w:cs="Georgia" w:eastAsia="Georgia" w:hAnsi="Georgia"/>
                <w:b/>
                <w:bCs/>
                <w:color w:val="232E4F"/>
                <w:sz w:val="28"/>
                <w:szCs w:val="28"/>
              </w:rPr>
              <w:t xml:space="preserve">Référent qualité
Meryem Vitré</w:t>
            </w:r>
          </w:p>
          <w:p>
            <w:pPr>
              <w:spacing w:before="40"/>
            </w:pPr>
            <w:r>
              <w:rPr>
                <w:rFonts w:ascii="Georgia" w:cs="Georgia" w:eastAsia="Georgia" w:hAnsi="Georgia"/>
                <w:color w:val="1E293B"/>
                <w:sz w:val="28"/>
                <w:szCs w:val="28"/>
              </w:rPr>
              <w:t xml:space="preserve">Date : ....../....../......</w:t>
            </w:r>
          </w:p>
          <w:p>
            <w:r>
              <w:rPr>
                <w:rFonts w:ascii="Georgia" w:cs="Georgia" w:eastAsia="Georgia" w:hAnsi="Georgia"/>
                <w:color w:val="1E293B"/>
                <w:sz w:val="28"/>
                <w:szCs w:val="28"/>
              </w:rPr>
              <w:t xml:space="preserve">Signature :</w:t>
            </w:r>
          </w:p>
          <w:p>
            <w:pPr>
              <w:spacing w:before="200"/>
            </w:pPr>
            <w:r>
              <w:t xml:space="preserve"/>
            </w:r>
          </w:p>
        </w:tc>
        <w:tc>
          <w:tcPr>
            <w:tcW w:type="dxa" w:w="3213"/>
            <w:tcBorders>
              <w:top w:val="single" w:color="CCCCCC" w:sz="1"/>
              <w:left w:val="single" w:color="CCCCCC" w:sz="1"/>
              <w:bottom w:val="single" w:color="CCCCCC" w:sz="1"/>
              <w:right w:val="single" w:color="CCCCCC" w:sz="1"/>
            </w:tcBorders>
            <w:shd w:fill="F5F4F0" w:val="clear"/>
            <w:tcMar>
              <w:top w:type="dxa" w:w="100"/>
              <w:left w:type="dxa" w:w="120"/>
              <w:bottom w:type="dxa" w:w="140"/>
              <w:right w:type="dxa" w:w="120"/>
            </w:tcMar>
          </w:tcPr>
          <w:p>
            <w:r>
              <w:rPr>
                <w:rFonts w:ascii="Georgia" w:cs="Georgia" w:eastAsia="Georgia" w:hAnsi="Georgia"/>
                <w:b/>
                <w:bCs/>
                <w:color w:val="232E4F"/>
                <w:sz w:val="28"/>
                <w:szCs w:val="28"/>
              </w:rPr>
              <w:t xml:space="preserve">Date de mise à jour</w:t>
            </w:r>
          </w:p>
          <w:p>
            <w:pPr>
              <w:spacing w:before="40"/>
            </w:pPr>
            <w:r>
              <w:rPr>
                <w:rFonts w:ascii="Georgia" w:cs="Georgia" w:eastAsia="Georgia" w:hAnsi="Georgia"/>
                <w:color w:val="1E293B"/>
                <w:sz w:val="28"/>
                <w:szCs w:val="28"/>
              </w:rPr>
              <w:t xml:space="preserve">Date : ....../....../......</w:t>
            </w:r>
          </w:p>
          <w:p>
            <w:r>
              <w:rPr>
                <w:rFonts w:ascii="Georgia" w:cs="Georgia" w:eastAsia="Georgia" w:hAnsi="Georgia"/>
                <w:color w:val="1E293B"/>
                <w:sz w:val="28"/>
                <w:szCs w:val="28"/>
              </w:rPr>
              <w:t xml:space="preserve">Signature :</w:t>
            </w:r>
          </w:p>
          <w:p>
            <w:pPr>
              <w:spacing w:before="200"/>
            </w:pPr>
            <w:r>
              <w:t xml:space="preserve"/>
            </w:r>
          </w:p>
        </w:tc>
        <w:tc>
          <w:tcPr>
            <w:tcW w:type="dxa" w:w="3213"/>
            <w:tcBorders>
              <w:top w:val="single" w:color="CCCCCC" w:sz="1"/>
              <w:left w:val="single" w:color="CCCCCC" w:sz="1"/>
              <w:bottom w:val="single" w:color="CCCCCC" w:sz="1"/>
              <w:right w:val="single" w:color="CCCCCC" w:sz="1"/>
            </w:tcBorders>
            <w:shd w:fill="F5F4F0" w:val="clear"/>
            <w:tcMar>
              <w:top w:type="dxa" w:w="100"/>
              <w:left w:type="dxa" w:w="120"/>
              <w:bottom w:type="dxa" w:w="140"/>
              <w:right w:type="dxa" w:w="120"/>
            </w:tcMar>
          </w:tcPr>
          <w:p>
            <w:r>
              <w:rPr>
                <w:rFonts w:ascii="Georgia" w:cs="Georgia" w:eastAsia="Georgia" w:hAnsi="Georgia"/>
                <w:b/>
                <w:bCs/>
                <w:color w:val="232E4F"/>
                <w:sz w:val="28"/>
                <w:szCs w:val="28"/>
              </w:rPr>
              <w:t xml:space="preserve">Prochaine révision</w:t>
            </w:r>
          </w:p>
          <w:p>
            <w:pPr>
              <w:spacing w:before="40"/>
            </w:pPr>
            <w:r>
              <w:rPr>
                <w:rFonts w:ascii="Georgia" w:cs="Georgia" w:eastAsia="Georgia" w:hAnsi="Georgia"/>
                <w:color w:val="1E293B"/>
                <w:sz w:val="28"/>
                <w:szCs w:val="28"/>
              </w:rPr>
              <w:t xml:space="preserve">Date : ....../....../......</w:t>
            </w:r>
          </w:p>
          <w:p>
            <w:r>
              <w:rPr>
                <w:rFonts w:ascii="Georgia" w:cs="Georgia" w:eastAsia="Georgia" w:hAnsi="Georgia"/>
                <w:color w:val="1E293B"/>
                <w:sz w:val="28"/>
                <w:szCs w:val="28"/>
              </w:rPr>
              <w:t xml:space="preserve">Signature :</w:t>
            </w:r>
          </w:p>
          <w:p>
            <w:pPr>
              <w:spacing w:before="200"/>
            </w:pPr>
            <w:r>
              <w:t xml:space="preserve"/>
            </w:r>
          </w:p>
        </w:tc>
      </w:tr>
    </w:tbl>
    <w:sectPr>
      <w:headerReference w:type="default" r:id="rId7"/>
      <w:footerReference w:type="default" r:id="rId8"/>
      <w:pgSz w:w="11906" w:h="16838" w:orient="portrait"/>
      <w:pgMar w:top="1734" w:right="1134" w:bottom="15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A843" w:sz="6"/>
      </w:pBdr>
      <w:spacing w:before="80"/>
    </w:pPr>
    <w:r>
      <w:drawing>
        <wp:inline distT="0" distB="0" distL="0" distR="0">
          <wp:extent cx="523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 cy="142875"/>
                  </a:xfrm>
                  <a:prstGeom prst="rect">
                    <a:avLst/>
                  </a:prstGeom>
                </pic:spPr>
              </pic:pic>
            </a:graphicData>
          </a:graphic>
        </wp:inline>
      </w:drawing>
    </w:r>
    <w:r>
      <w:rPr>
        <w:rFonts w:ascii="Georgia" w:cs="Georgia" w:eastAsia="Georgia" w:hAnsi="Georgia"/>
        <w:color w:val="799BA5"/>
        <w:sz w:val="28"/>
        <w:szCs w:val="28"/>
      </w:rPr>
      <w:t xml:space="preserve">  |  11 Rue G. Charbonnier — 06300 Nice  |  contact@maieuticap.fr  |  06 76 07 83 70  |  NDA 93061024406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4819"/>
      <w:gridCol w:w="4048"/>
    </w:tblGrid>
    <w:tr>
      <w:tc>
        <w:tcPr>
          <w:tcW w:type="dxa" w:w="771"/>
          <w:tcBorders>
            <w:top w:val="none" w:sz="0"/>
            <w:left w:val="none" w:sz="0"/>
            <w:bottom w:val="none" w:sz="0"/>
            <w:right w:val="none" w:sz="0"/>
          </w:tcBorders>
          <w:shd w:fill="D9A843" w:val="clear"/>
          <w:tcMar>
            <w:top w:type="dxa" w:w="60"/>
            <w:left w:type="dxa" w:w="40"/>
            <w:bottom w:type="dxa" w:w="60"/>
            <w:right w:type="dxa" w:w="40"/>
          </w:tcMar>
        </w:tcPr>
        <w:p>
          <w:r>
            <w:t xml:space="preserve"/>
          </w:r>
        </w:p>
      </w:tc>
      <w:tc>
        <w:tcPr>
          <w:tcW w:type="dxa" w:w="4819"/>
          <w:tcBorders>
            <w:top w:val="none" w:sz="0"/>
            <w:left w:val="none" w:sz="0"/>
            <w:bottom w:val="none" w:sz="0"/>
            <w:right w:val="none" w:sz="0"/>
          </w:tcBorders>
          <w:shd w:fill="FFFFFF" w:val="clear"/>
          <w:tcMar>
            <w:top w:type="dxa" w:w="60"/>
            <w:left w:type="dxa" w:w="120"/>
            <w:bottom w:type="dxa" w:w="60"/>
            <w:right w:type="dxa" w:w="60"/>
          </w:tcMar>
          <w:vAlign w:val="center"/>
        </w:tcPr>
        <w:p>
          <w:r>
            <w:rPr>
              <w:rFonts w:ascii="Georgia" w:cs="Georgia" w:eastAsia="Georgia" w:hAnsi="Georgia"/>
              <w:b/>
              <w:bCs/>
              <w:color w:val="232E4F"/>
              <w:sz w:val="17"/>
              <w:szCs w:val="17"/>
            </w:rPr>
            <w:t xml:space="preserve">Programme Bilan de Compétences</w:t>
          </w:r>
        </w:p>
        <w:p>
          <w:r>
            <w:rPr>
              <w:rFonts w:ascii="Georgia" w:cs="Georgia" w:eastAsia="Georgia" w:hAnsi="Georgia"/>
              <w:color w:val="799BA5"/>
              <w:sz w:val="22"/>
              <w:szCs w:val="22"/>
            </w:rPr>
            <w:t xml:space="preserve">V2026 · Qualiopi ✓ · NDA 93061024406</w:t>
          </w:r>
        </w:p>
      </w:tc>
      <w:tc>
        <w:tcPr>
          <w:tcW w:type="dxa" w:w="4048"/>
          <w:tcBorders>
            <w:top w:val="none" w:sz="0"/>
            <w:left w:val="none" w:sz="0"/>
            <w:bottom w:val="none" w:sz="0"/>
            <w:right w:val="none" w:sz="0"/>
          </w:tcBorders>
          <w:shd w:fill="FFFFFF" w:val="clear"/>
          <w:tcMar>
            <w:top w:type="dxa" w:w="60"/>
            <w:left w:type="dxa" w:w="60"/>
            <w:bottom w:type="dxa" w:w="60"/>
            <w:right w:type="dxa" w:w="80"/>
          </w:tcMar>
          <w:vAlign w:val="center"/>
        </w:tcPr>
        <w:p>
          <w:pPr>
            <w:jc w:val="right"/>
          </w:pPr>
          <w:r>
            <w:drawing>
              <wp:inline distT="0" distB="0" distL="0" distR="0">
                <wp:extent cx="14287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400050"/>
                        </a:xfrm>
                        <a:prstGeom prst="rect">
                          <a:avLst/>
                        </a:prstGeom>
                      </pic:spPr>
                    </pic:pic>
                  </a:graphicData>
                </a:graphic>
              </wp:inline>
            </w:drawing>
          </w:r>
        </w:p>
      </w:tc>
    </w:tr>
  </w:tbl>
  <w:p>
    <w:pPr>
      <w:pBdr>
        <w:bottom w:val="single" w:color="232E4F" w:sz="6"/>
      </w:pBdr>
      <w:spacing w:after="12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280"/>
      </w:pPr>
    </w:lvl>
  </w:abstractNum>
  <w:abstractNum w:abstractNumId="3" w15:restartNumberingAfterBreak="0">
    <w:multiLevelType w:val="hybridMultilevel"/>
    <w:lvl w:ilvl="0" w15:tentative="1">
      <w:start w:val="1"/>
      <w:numFmt w:val="bullet"/>
      <w:lvlText w:val="☐"/>
      <w:lvlJc w:val="left"/>
      <w:pPr>
        <w:ind w:left="580" w:hanging="280"/>
      </w:pPr>
    </w:lvl>
  </w:abstractNum>
  <w:abstractNum w:abstractNumId="4" w15:restartNumberingAfterBreak="0">
    <w:multiLevelType w:val="hybridMultilevel"/>
    <w:lvl w:ilvl="0" w15:tentative="1">
      <w:start w:val="1"/>
      <w:numFmt w:val="decimal"/>
      <w:lvlText w:val="%1."/>
      <w:lvlJc w:val="left"/>
      <w:pPr>
        <w:ind w:left="5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db957b525650ac78123dcde7b1b2ef4b06255716.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b957b525650ac78123dcde7b1b2ef4b0625571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2026-05-21T11:09:29.271Z</dcterms:created>
  <dcterms:modified xsi:type="dcterms:W3CDTF">2026-05-21T11:09:29.271Z</dcterms:modified>
</cp:coreProperties>
</file>

<file path=docProps/custom.xml><?xml version="1.0" encoding="utf-8"?>
<Properties xmlns="http://schemas.openxmlformats.org/officeDocument/2006/custom-properties" xmlns:vt="http://schemas.openxmlformats.org/officeDocument/2006/docPropsVTypes"/>
</file>