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CONV-FORM-01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Base légale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Art. L.6313-1 et R.6353-1 du Code du travail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Indicateur Qualiopi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I4, I7 — Critères 2 et 3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32E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2"/>
                <w:szCs w:val="22"/>
              </w:rPr>
              <w:t xml:space="preserve">CONVENTION DE FORMATION PROFESSIONNELLE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799BA5"/>
                <w:sz w:val="28"/>
                <w:szCs w:val="28"/>
              </w:rPr>
              <w:t xml:space="preserve">Entre MaïeutiCap et l'entreprise commanditaire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Article 1 — Parties à la convention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Entre l'organisme de formation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Dénomination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MaïeutiCap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Représentant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 — Gérante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Adresse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11 Rue Gaston Charbonnier — 06300 Nice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SIRET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92121118100018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NDA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93061024406 (PACA)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BC + Actions de formation — depuis 09/04/2025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D9A843"/>
          <w:sz w:val="28"/>
          <w:szCs w:val="28"/>
        </w:rPr>
        <w:t xml:space="preserve">◆ </w:t>
      </w: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Et l'entreprise commanditaire :</w:t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Raison sociale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Représentant légal / Responsable formation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Adresse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SIRET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Email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pPr>
        <w:spacing w:before="8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Téléphone :</w:t>
      </w:r>
    </w:p>
    <w:p>
      <w:pPr>
        <w:pBdr>
          <w:bottom w:val="single" w:color="799BA5" w:sz="5"/>
        </w:pBdr>
        <w:spacing w:after="90" w:before="60"/>
      </w:pPr>
      <w:r>
        <w:t xml:space="preserve"/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Article 2 — Objet et contenu de la convention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Intitulé de l'action de formation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...................................................................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Objectifs poursuivis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Tels que définis dans le programme joint (Annexe I — obligatoire)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Effectif concerné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 stagiaire(s) — Noms à joindre en Annexe II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Durée par stagiaire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 heures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Durée totale (groupe)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 heures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Dates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Du .../.../...... au .../.../......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Lieu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Présentiel (adresse ci-dessous)  ☐ Distanciel  ☐ Mixte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Modalités pédagogiques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Individualisées / Adaptées aux besoins identifiés lors du diagnostic préalable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Article 3 — Conditions financières et facturation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Prix unitaire par stagiaire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 € HT / ............ € TTC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Montant total convention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............ € HT / ............ € TTC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TVA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Non applicable — Art. 261.4.4 b du CGI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Financement OPCO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☐ Oui — Demande prise en charge transmise avant démarrage  ☐ Non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Modalités de paiement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30 jours net après réception de la facture / fin de formation</w:t>
            </w:r>
          </w:p>
        </w:tc>
      </w:tr>
    </w:tbl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Article 4 — Obligations de MaïeutiCap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Concevoir et animer la formation selon les objectifs définis en Annexe I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Remettre les supports pédagogiques et les feuilles d'émargement signées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Évaluer les acquis et remettre les attestations individuelles de formation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Transmettre la facture et les justificatifs requis par le financeur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Adapter les modalités aux bénéficiaires en situation de handicap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Article 5 — Obligations de l'entreprise commanditaire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Informer les stagiaires des objectifs, contenu et modalités de la formation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Assurer la disponibilité des stagiaires aux dates convenues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Signaler toute absence ou changement dans les 24h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Georgia" w:cs="Georgia" w:eastAsia="Georgia" w:hAnsi="Georgia"/>
          <w:b w:val="false"/>
          <w:bCs w:val="false"/>
          <w:color w:val="1E293B"/>
          <w:sz w:val="22"/>
          <w:szCs w:val="22"/>
        </w:rPr>
        <w:t xml:space="preserve">Régler les prestations dans les délais convenus</w:t>
      </w:r>
    </w:p>
    <w:p>
      <w:r>
        <w:t xml:space="preserve"/>
      </w:r>
    </w:p>
    <w:p>
      <w:pPr>
        <w:pBdr>
          <w:bottom w:val="single" w:color="D9A843" w:sz="8"/>
        </w:pBdr>
        <w:spacing w:after="100" w:before="220"/>
      </w:pPr>
      <w:r>
        <w:rPr>
          <w:rFonts w:ascii="Georgia" w:cs="Georgia" w:eastAsia="Georgia" w:hAnsi="Georgia"/>
          <w:b/>
          <w:bCs/>
          <w:color w:val="232E4F"/>
          <w:sz w:val="28"/>
          <w:szCs w:val="28"/>
        </w:rPr>
        <w:t xml:space="preserve">Article 6 — Conditions de résiliation</w:t>
      </w:r>
    </w:p>
    <w:p>
      <w:pPr>
        <w:spacing w:after="40" w:before="40"/>
      </w:pPr>
      <w:r>
        <w:rPr>
          <w:rFonts w:ascii="Georgia" w:cs="Georgia" w:eastAsia="Georgia" w:hAnsi="Georgia"/>
          <w:color w:val="1E293B"/>
          <w:sz w:val="22"/>
          <w:szCs w:val="22"/>
        </w:rPr>
        <w:t xml:space="preserve">En cas d'annulation par l'entreprise moins de 7 jours ouvrés avant le début de la formation, MaïeutiCap se réserve le droit de facturer 30 % du montant total à titre d'indemnisation.</w:t>
      </w:r>
    </w:p>
    <w:p>
      <w:r>
        <w:t xml:space="preserve"/>
      </w:r>
    </w:p>
    <w:p>
      <w:pPr>
        <w:pBdr>
          <w:left w:val="single" w:color="D9A843" w:sz="18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La présente convention est établie en deux exemplaires originaux, un pour chaque partie. Elle prend effet à la date de signature et vaut accord sur les conditions de la prestation de formation.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MaïeutiCap
Meryem Vitré — Gérante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L'entreprise commanditaire
Nom, qualité et signature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34" w:right="1134" w:bottom="15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Convention de Formation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2026-05-21T11:09:29.689Z</dcterms:created>
  <dcterms:modified xsi:type="dcterms:W3CDTF">2026-05-21T11:09:29.689Z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