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Référence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EVAL-BC-01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Version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V2026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Usage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Consultante BC + Bénéficiaire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Indicateurs Qualiopi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I9, I10 — Critères 3 et 4</w:t>
            </w:r>
          </w:p>
        </w:tc>
      </w:tr>
    </w:tbl>
    <w:p>
      <w:r>
        <w:t xml:space="preserve"/>
      </w:r>
    </w:p>
    <w:p>
      <w:pPr>
        <w:pBdr>
          <w:left w:val="single" w:color="D9A843" w:sz="18"/>
        </w:pBdr>
        <w:shd w:fill="F5F4F0" w:val="clear"/>
        <w:spacing w:after="100" w:before="100"/>
      </w:pPr>
      <w:r>
        <w:rPr>
          <w:rFonts w:ascii="Georgia" w:cs="Georgia" w:eastAsia="Georgia" w:hAnsi="Georgia"/>
          <w:color w:val="232E4F"/>
          <w:sz w:val="28"/>
          <w:szCs w:val="28"/>
        </w:rPr>
        <w:t xml:space="preserve">  Cette grille est complétée conjointement par la consultante et le bénéficiaire à chaque phase du bilan. Elle constitue une preuve de suivi des compétences exigée par Qualiopi.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Bénéficiaire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...................................................................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Date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.../.../......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Phase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☐ Initiale  ☐ Investigation  ☐ Conclusion  ☐ Suivi M+6</w:t>
            </w:r>
          </w:p>
        </w:tc>
      </w:tr>
    </w:tbl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1. Connaissance de soi — Compétences visées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084"/>
        <w:gridCol w:w="964"/>
        <w:gridCol w:w="964"/>
        <w:gridCol w:w="964"/>
        <w:gridCol w:w="964"/>
      </w:tblGrid>
      <w:tr>
        <w:trPr>
          <w:tblHeader/>
        </w:trPr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Compétence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Non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En cours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Maîtrisé</w:t>
            </w:r>
          </w:p>
        </w:tc>
      </w:tr>
      <w:tr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232E4F"/>
                <w:sz w:val="18"/>
                <w:szCs w:val="18"/>
              </w:rPr>
              <w:t xml:space="preserve">Identification des valeurs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Capacité à nommer et hiérarchiser ses valeurs professionnelles profondes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Non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En cours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Maîtrisé</w:t>
            </w:r>
          </w:p>
        </w:tc>
      </w:tr>
      <w:tr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232E4F"/>
                <w:sz w:val="18"/>
                <w:szCs w:val="18"/>
              </w:rPr>
              <w:t xml:space="preserve">Connaissance de sa personnalité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Comprendre ses modes de fonctionnement, forces et limites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Non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En cours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Maîtrisé</w:t>
            </w:r>
          </w:p>
        </w:tc>
      </w:tr>
      <w:tr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232E4F"/>
                <w:sz w:val="18"/>
                <w:szCs w:val="18"/>
              </w:rPr>
              <w:t xml:space="preserve">Identification des motivations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Distinguer motivations intrinsèques et extrinsèques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Non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En cours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Maîtrisé</w:t>
            </w:r>
          </w:p>
        </w:tc>
      </w:tr>
      <w:tr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232E4F"/>
                <w:sz w:val="18"/>
                <w:szCs w:val="18"/>
              </w:rPr>
              <w:t xml:space="preserve">Conscience de ses intérêts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Identifier les domaines professionnels qui correspondent à son profil RIASEC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Non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En cours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Maîtrisé</w:t>
            </w:r>
          </w:p>
        </w:tc>
      </w:tr>
    </w:tbl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2. Analyse des compétences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084"/>
        <w:gridCol w:w="964"/>
        <w:gridCol w:w="964"/>
        <w:gridCol w:w="964"/>
        <w:gridCol w:w="964"/>
      </w:tblGrid>
      <w:tr>
        <w:trPr>
          <w:tblHeader/>
        </w:trPr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Compétence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Non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En cours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Maîtrisé</w:t>
            </w:r>
          </w:p>
        </w:tc>
      </w:tr>
      <w:tr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232E4F"/>
                <w:sz w:val="18"/>
                <w:szCs w:val="18"/>
              </w:rPr>
              <w:t xml:space="preserve">Inventaire des savoirs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Lister ses connaissances théoriques et techniques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Non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En cours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Maîtrisé</w:t>
            </w:r>
          </w:p>
        </w:tc>
      </w:tr>
      <w:tr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232E4F"/>
                <w:sz w:val="18"/>
                <w:szCs w:val="18"/>
              </w:rPr>
              <w:t xml:space="preserve">Inventaire des savoir-faire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Identifier ses compétences opérationnelles et transférables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Non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En cours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Maîtrisé</w:t>
            </w:r>
          </w:p>
        </w:tc>
      </w:tr>
      <w:tr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232E4F"/>
                <w:sz w:val="18"/>
                <w:szCs w:val="18"/>
              </w:rPr>
              <w:t xml:space="preserve">Inventaire des savoir-être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Formaliser ses qualités comportementales et soft skills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Non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En cours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Maîtrisé</w:t>
            </w:r>
          </w:p>
        </w:tc>
      </w:tr>
      <w:tr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232E4F"/>
                <w:sz w:val="18"/>
                <w:szCs w:val="18"/>
              </w:rPr>
              <w:t xml:space="preserve">Identification des compétences clés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Distinguer ses points forts différenciants sur le marché du travail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Non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En cours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Maîtrisé</w:t>
            </w:r>
          </w:p>
        </w:tc>
      </w:tr>
    </w:tbl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3. Construction et validation du projet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084"/>
        <w:gridCol w:w="964"/>
        <w:gridCol w:w="964"/>
        <w:gridCol w:w="964"/>
        <w:gridCol w:w="964"/>
      </w:tblGrid>
      <w:tr>
        <w:trPr>
          <w:tblHeader/>
        </w:trPr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Compétence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Non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En cours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Maîtrisé</w:t>
            </w:r>
          </w:p>
        </w:tc>
      </w:tr>
      <w:tr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232E4F"/>
                <w:sz w:val="18"/>
                <w:szCs w:val="18"/>
              </w:rPr>
              <w:t xml:space="preserve">Définition d'un projet professionnel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Formuler un projet précis, réaliste et motivant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Non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En cours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Maîtrisé</w:t>
            </w:r>
          </w:p>
        </w:tc>
      </w:tr>
      <w:tr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232E4F"/>
                <w:sz w:val="18"/>
                <w:szCs w:val="18"/>
              </w:rPr>
              <w:t xml:space="preserve">Validation sur le marché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Avoir exploré le marché et validé la faisabilité du projet (enquête métier)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Non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En cours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Maîtrisé</w:t>
            </w:r>
          </w:p>
        </w:tc>
      </w:tr>
      <w:tr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232E4F"/>
                <w:sz w:val="18"/>
                <w:szCs w:val="18"/>
              </w:rPr>
              <w:t xml:space="preserve">Connaissance des voies d'accès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Identifier les formations, certifications ou étapes nécessaires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Non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En cours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Maîtrisé</w:t>
            </w:r>
          </w:p>
        </w:tc>
      </w:tr>
      <w:tr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232E4F"/>
                <w:sz w:val="18"/>
                <w:szCs w:val="18"/>
              </w:rPr>
              <w:t xml:space="preserve">Plan d'action formalisé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Avoir co-rédigé un plan d'action avec étapes, ressources et calendrier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Non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En cours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Maîtrisé</w:t>
            </w:r>
          </w:p>
        </w:tc>
      </w:tr>
      <w:tr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232E4F"/>
                <w:sz w:val="18"/>
                <w:szCs w:val="18"/>
              </w:rPr>
              <w:t xml:space="preserve">Document de synthèse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Avoir validé et reçu son document de synthèse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Non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En cours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Acquis</w:t>
            </w:r>
          </w:p>
        </w:tc>
        <w:tc>
          <w:tcPr>
            <w:tcW w:type="dxa" w:w="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17"/>
                <w:szCs w:val="17"/>
              </w:rPr>
              <w:t xml:space="preserve">☐ Maîtrisé</w:t>
            </w:r>
          </w:p>
        </w:tc>
      </w:tr>
    </w:tbl>
    <w:p>
      <w:r>
        <w:t xml:space="preserve"/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Observations et commentaires</w:t>
      </w:r>
    </w:p>
    <w:p>
      <w:pPr>
        <w:pBdr>
          <w:bottom w:val="single" w:color="799BA5" w:sz="4"/>
        </w:pBdr>
        <w:spacing w:after="40" w:before="60"/>
      </w:pPr>
      <w:r>
        <w:t xml:space="preserve"/>
      </w:r>
    </w:p>
    <w:p>
      <w:pPr>
        <w:pBdr>
          <w:bottom w:val="single" w:color="799BA5" w:sz="4"/>
        </w:pBdr>
        <w:spacing w:after="80" w:before="3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Bénéficiaire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Consultante BC
Meryem Vitré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734" w:right="1134" w:bottom="15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A843" w:sz="6"/>
      </w:pBdr>
      <w:spacing w:before="80"/>
    </w:pPr>
    <w:r>
      <w:drawing>
        <wp:inline distT="0" distB="0" distL="0" distR="0">
          <wp:extent cx="523875" cy="142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142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color w:val="799BA5"/>
        <w:sz w:val="28"/>
        <w:szCs w:val="28"/>
      </w:rPr>
      <w:t xml:space="preserve">  |  11 Rue G. Charbonnier — 06300 Nice  |  contact@maieuticap.fr  |  06 76 07 83 70  |  NDA 93061024406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1"/>
      <w:gridCol w:w="4819"/>
      <w:gridCol w:w="4048"/>
    </w:tblGrid>
    <w:tr>
      <w:tc>
        <w:tcPr>
          <w:tcW w:type="dxa" w:w="771"/>
          <w:tcBorders>
            <w:top w:val="none" w:sz="0"/>
            <w:left w:val="none" w:sz="0"/>
            <w:bottom w:val="none" w:sz="0"/>
            <w:right w:val="none" w:sz="0"/>
          </w:tcBorders>
          <w:shd w:fill="D9A843" w:val="clear"/>
          <w:tcMar>
            <w:top w:type="dxa" w:w="60"/>
            <w:left w:type="dxa" w:w="40"/>
            <w:bottom w:type="dxa" w:w="60"/>
            <w:right w:type="dxa" w:w="40"/>
          </w:tcMar>
        </w:tcPr>
        <w:p>
          <w:r>
            <w:t xml:space="preserve"/>
          </w:r>
        </w:p>
      </w:tc>
      <w:tc>
        <w:tcPr>
          <w:tcW w:type="dxa" w:w="4819"/>
          <w:tcBorders>
            <w:top w:val="none" w:sz="0"/>
            <w:left w:val="none" w:sz="0"/>
            <w:bottom w:val="none" w:sz="0"/>
            <w:right w:val="none" w:sz="0"/>
          </w:tcBorders>
          <w:shd w:fill="FFFFFF" w:val="clear"/>
          <w:tcMar>
            <w:top w:type="dxa" w:w="60"/>
            <w:left w:type="dxa" w:w="120"/>
            <w:bottom w:type="dxa" w:w="60"/>
            <w:right w:type="dxa" w:w="60"/>
          </w:tcMar>
          <w:vAlign w:val="center"/>
        </w:tcPr>
        <w:p>
          <w:r>
            <w:rPr>
              <w:rFonts w:ascii="Georgia" w:cs="Georgia" w:eastAsia="Georgia" w:hAnsi="Georgia"/>
              <w:b/>
              <w:bCs/>
              <w:color w:val="232E4F"/>
              <w:sz w:val="17"/>
              <w:szCs w:val="17"/>
            </w:rPr>
            <w:t xml:space="preserve">Grille d'Évaluation Bilan de Compétences</w:t>
          </w:r>
        </w:p>
        <w:p>
          <w:r>
            <w:rPr>
              <w:rFonts w:ascii="Georgia" w:cs="Georgia" w:eastAsia="Georgia" w:hAnsi="Georgia"/>
              <w:color w:val="799BA5"/>
              <w:sz w:val="22"/>
              <w:szCs w:val="22"/>
            </w:rPr>
            <w:t xml:space="preserve">V2026 · Qualiopi ✓ · NDA 93061024406</w:t>
          </w:r>
        </w:p>
      </w:tc>
      <w:tc>
        <w:tcPr>
          <w:tcW w:type="dxa" w:w="4048"/>
          <w:tcBorders>
            <w:top w:val="none" w:sz="0"/>
            <w:left w:val="none" w:sz="0"/>
            <w:bottom w:val="none" w:sz="0"/>
            <w:right w:val="none" w:sz="0"/>
          </w:tcBorders>
          <w:shd w:fill="FFFFFF" w:val="clear"/>
          <w:tcMar>
            <w:top w:type="dxa" w:w="60"/>
            <w:left w:type="dxa" w:w="60"/>
            <w:bottom w:type="dxa" w:w="60"/>
            <w:right w:type="dxa" w:w="8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42875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232E4F" w:sz="6"/>
      </w:pBdr>
      <w:spacing w:after="12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2026-05-21T11:09:29.887Z</dcterms:created>
  <dcterms:modified xsi:type="dcterms:W3CDTF">2026-05-21T11:09:29.887Z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