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819"/><w:gridCol w:w="4819"/></w:tblGrid><w:tr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Référence</w:t></w:r></w:p></w:tc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PROC-CART-01</w:t></w:r></w:p></w:tc></w:tr><w:tr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Version</w:t></w:r></w:p></w:tc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V2026</w:t></w:r></w:p></w:tc></w:tr><w:tr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Indicateurs Qualiopi</w:t></w:r></w:p></w:tc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Critères 1 à 7 — Vue transversale</w:t></w:r></w:p></w:tc></w:tr><w:tr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Responsable</w:t></w:r></w:p></w:tc><w:tc><w:tcPr><w:tcW w:type="dxa" w:w="4819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Meryem Vitré — Référente qualité</w:t></w:r></w:p></w:tc></w:tr></w:tbl><w:p><w:r><w:t xml:space="preserve"></w:t></w:r></w:p><w:p><w:pPr><w:pBdr><w:left w:val="single" w:color="D9A843" w:sz="18"/></w:pBdr><w:shd w:fill="F5F4F0" w:val="clear"/><w:spacing w:after="100" w:before="100"/></w:pPr><w:r><w:rPr><w:rFonts w:ascii="Georgia" w:cs="Georgia" w:eastAsia="Georgia" w:hAnsi="Georgia"/><w:color w:val="232E4F"/><w:sz w:val="28"/><w:szCs w:val="28"/></w:rPr><w:t xml:space="preserve">  Ce document décrit l&apos;ensemble des processus de MaïeutiCap. Il constitue la carte de navigation de l&apos;organisme pour l&apos;audit Qualiopi. Chaque processus est lié à ses indicateurs Qualiopi correspondants.</w:t></w:r></w:p><w:p><w:r><w:t xml:space="preserve"></w:t></w:r></w:p><w:p><w:pPr><w:pBdr><w:bottom w:val="single" w:color="D9A843" w:sz="8"/></w:pBdr><w:spacing w:after="100" w:before="220"/></w:pPr><w:r><w:rPr><w:rFonts w:ascii="Georgia" w:cs="Georgia" w:eastAsia="Georgia" w:hAnsi="Georgia"/><w:b/><w:bCs/><w:color w:val="232E4F"/><w:sz w:val="28"/><w:szCs w:val="28"/></w:rPr><w:t xml:space="preserve">1. Cartographie synthétique des processus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82"/><w:gridCol w:w="1735"/><w:gridCol w:w="1928"/><w:gridCol w:w="1928"/><w:gridCol w:w="1446"/><w:gridCol w:w="2120"/></w:tblGrid><w:tr><w:trPr><w:tblHeader/></w:trPr><w:tc><w:tcPr><w:tcW w:type="dxa" w:w="482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60"/><w:bottom w:type="dxa" w:w="80"/><w:right w:type="dxa" w:w="60"/></w:tcMar></w:tcPr><w:p><w:pPr><w:jc w:val="center"/></w:pPr><w:r><w:rPr><w:rFonts w:ascii="Georgia" w:cs="Georgia" w:eastAsia="Georgia" w:hAnsi="Georgia"/><w:b/><w:bCs/><w:color w:val="FFFFFF"/><w:sz w:val="28"/><w:szCs w:val="28"/></w:rPr><w:t xml:space="preserve">N°</w:t></w:r></w:p></w:tc><w:tc><w:tcPr><w:tcW w:type="dxa" w:w="1735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60"/><w:bottom w:type="dxa" w:w="80"/><w:right w:type="dxa" w:w="60"/></w:tcMar></w:tcPr><w:p><w:pPr><w:jc w:val="center"/></w:pPr><w:r><w:rPr><w:rFonts w:ascii="Georgia" w:cs="Georgia" w:eastAsia="Georgia" w:hAnsi="Georgia"/><w:b/><w:bCs/><w:color w:val="FFFFFF"/><w:sz w:val="28"/><w:szCs w:val="28"/></w:rPr><w:t xml:space="preserve">Processus</w:t></w:r></w:p></w:tc><w:tc><w:tcPr><w:tcW w:type="dxa" w:w="1928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60"/><w:bottom w:type="dxa" w:w="80"/><w:right w:type="dxa" w:w="60"/></w:tcMar></w:tcPr><w:p><w:pPr><w:jc w:val="center"/></w:pPr><w:r><w:rPr><w:rFonts w:ascii="Georgia" w:cs="Georgia" w:eastAsia="Georgia" w:hAnsi="Georgia"/><w:b/><w:bCs/><w:color w:val="FFFFFF"/><w:sz w:val="28"/><w:szCs w:val="28"/></w:rPr><w:t xml:space="preserve">Entrées (déclencheurs)</w:t></w:r></w:p></w:tc><w:tc><w:tcPr><w:tcW w:type="dxa" w:w="1928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60"/><w:bottom w:type="dxa" w:w="80"/><w:right w:type="dxa" w:w="60"/></w:tcMar></w:tcPr><w:p><w:pPr><w:jc w:val="center"/></w:pPr><w:r><w:rPr><w:rFonts w:ascii="Georgia" w:cs="Georgia" w:eastAsia="Georgia" w:hAnsi="Georgia"/><w:b/><w:bCs/><w:color w:val="FFFFFF"/><w:sz w:val="28"/><w:szCs w:val="28"/></w:rPr><w:t xml:space="preserve">Sorties (livrables)</w:t></w:r></w:p></w:tc><w:tc><w:tcPr><w:tcW w:type="dxa" w:w="1446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60"/><w:bottom w:type="dxa" w:w="80"/><w:right w:type="dxa" w:w="60"/></w:tcMar></w:tcPr><w:p><w:pPr><w:jc w:val="center"/></w:pPr><w:r><w:rPr><w:rFonts w:ascii="Georgia" w:cs="Georgia" w:eastAsia="Georgia" w:hAnsi="Georgia"/><w:b/><w:bCs/><w:color w:val="FFFFFF"/><w:sz w:val="28"/><w:szCs w:val="28"/></w:rPr><w:t xml:space="preserve">Responsable</w:t></w:r></w:p></w:tc><w:tc><w:tcPr><w:tcW w:type="dxa" w:w="2120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60"/><w:bottom w:type="dxa" w:w="80"/><w:right w:type="dxa" w:w="60"/></w:tcMar></w:tcPr><w:p><w:pPr><w:jc w:val="center"/></w:pPr><w:r><w:rPr><w:rFonts w:ascii="Georgia" w:cs="Georgia" w:eastAsia="Georgia" w:hAnsi="Georgia"/><w:b/><w:bCs/><w:color w:val="FFFFFF"/><w:sz w:val="28"/><w:szCs w:val="28"/></w:rPr><w:t xml:space="preserve">Indicateurs Qualiopi</w:t></w:r></w:p></w:tc></w:tr><w:tr><0/></w:tr><w:tr><0/></w:tr><w:tr><0/></w:tr><w:tr><0/></w:tr><w:tr><0/></w:tr><w:tr><0/></w:tr><w:tr><0/></w:tr><w:tr><0/></w:tr><w:tr><0/></w:tr><w:tr><0/></w:tr><w:tr><0/></w:tr></w:tbl><w:p><w:r><w:t xml:space="preserve"></w:t></w:r></w:p><w:p><w:pPr><w:pBdr><w:bottom w:val="single" w:color="D9A843" w:sz="8"/></w:pBdr><w:spacing w:after="100" w:before="220"/></w:pPr><w:r><w:rPr><w:rFonts w:ascii="Georgia" w:cs="Georgia" w:eastAsia="Georgia" w:hAnsi="Georgia"/><w:b/><w:bCs/><w:color w:val="232E4F"/><w:sz w:val="28"/><w:szCs w:val="28"/></w:rPr><w:t xml:space="preserve">2. Processus P2 — Analyse des besoins : logigramme détaillé</w:t></w:r></w:p><w:p><w:pPr><w:spacing w:after="40" w:before="40"/></w:pPr><w:r><w:rPr><w:rFonts w:ascii="Georgia" w:cs="Georgia" w:eastAsia="Georgia" w:hAnsi="Georgia"/><w:color w:val="1E293B"/><w:sz w:val="22"/><w:szCs w:val="22"/></w:rPr><w:t xml:space="preserve">Étape 1 : Réception de la demande (mail, téléphone, formulaire site)</w:t></w:r></w:p><w:p><w:pPr><w:spacing w:after="40" w:before="40"/></w:pPr><w:r><w:rPr><w:rFonts w:ascii="Georgia" w:cs="Georgia" w:eastAsia="Georgia" w:hAnsi="Georgia"/><w:color w:val="1E293B"/><w:sz w:val="22"/><w:szCs w:val="22"/></w:rPr><w:t xml:space="preserve">Étape 2 : Prise de contact dans les 24h ouvrées — présentation de MaïeutiCap</w:t></w:r></w:p><w:p><w:pPr><w:spacing w:after="40" w:before="40"/></w:pPr><w:r><w:rPr><w:rFonts w:ascii="Georgia" w:cs="Georgia" w:eastAsia="Georgia" w:hAnsi="Georgia"/><w:color w:val="1E293B"/><w:sz w:val="22"/><w:szCs w:val="22"/></w:rPr><w:t xml:space="preserve">Étape 3 : Entretien préalable (Guide GUIDE-BC-01) — analyse de la demande, vérification de l&apos;adéquation</w:t></w:r></w:p><w:p><w:pPr><w:spacing w:after="40" w:before="40"/></w:pPr><w:r><w:rPr><w:rFonts w:ascii="Georgia" w:cs="Georgia" w:eastAsia="Georgia" w:hAnsi="Georgia"/><w:color w:val="1E293B"/><w:sz w:val="22"/><w:szCs w:val="22"/></w:rPr><w:t xml:space="preserve">Étape 4 : Si adéquat → Envoi devis et programme (48h) · Si non adéquat → Orientation vers ressource adaptée</w:t></w:r></w:p><w:p><w:pPr><w:spacing w:after="40" w:before="40"/></w:pPr><w:r><w:rPr><w:rFonts w:ascii="Georgia" w:cs="Georgia" w:eastAsia="Georgia" w:hAnsi="Georgia"/><w:color w:val="1E293B"/><w:sz w:val="22"/><w:szCs w:val="22"/></w:rPr><w:t xml:space="preserve">Étape 5 : Signature du contrat/convention → Démarrage de la prestation (Processus P4 ou P5)</w:t></w:r></w:p><w:p><w:r><w:t xml:space="preserve"></w:t></w:r></w:p><w:p><w:pPr><w:pBdr><w:bottom w:val="single" w:color="D9A843" w:sz="8"/></w:pBdr><w:spacing w:after="100" w:before="220"/></w:pPr><w:r><w:rPr><w:rFonts w:ascii="Georgia" w:cs="Georgia" w:eastAsia="Georgia" w:hAnsi="Georgia"/><w:b/><w:bCs/><w:color w:val="232E4F"/><w:sz w:val="28"/><w:szCs w:val="28"/></w:rPr><w:t xml:space="preserve">3. Processus P9 — Amélioration continue : cycle PDCA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71"/><w:gridCol w:w="1735"/><w:gridCol w:w="7132"/></w:tblGrid><w:tr><w:trPr><w:tblHeader/></w:trPr><w:tc><w:tcPr><w:tcW w:type="dxa" w:w="0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FFFFFF"/><w:sz w:val="28"/><w:szCs w:val="28"/></w:rPr><w:t xml:space="preserve"></w:t></w:r></w:p></w:tc><w:tc><w:tcPr><w:tcW w:type="dxa" w:w="0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FFFFFF"/><w:sz w:val="28"/><w:szCs w:val="28"/></w:rPr><w:t xml:space="preserve">Phase PDCA</w:t></w:r></w:p></w:tc><w:tc><w:tcPr><w:tcW w:type="dxa" w:w="0"/><w:tcBorders><w:top w:val="single" w:color="CCCCCC" w:sz="1"/><w:left w:val="single" w:color="CCCCCC" w:sz="1"/><w:bottom w:val="single" w:color="CCCCCC" w:sz="1"/><w:right w:val="single" w:color="CCCCCC" w:sz="1"/></w:tcBorders><w:shd w:fill="232E4F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FFFFFF"/><w:sz w:val="28"/><w:szCs w:val="28"/></w:rPr><w:t xml:space="preserve">Actions MaïeutiCap</w:t></w:r></w:p></w:tc></w:tr><w:tr><w:tc><w:tcPr><w:tcW w:type="dxa" w:w="771"/><w:tcBorders><w:top w:val="single" w:color="CCCCCC" w:sz="1"/><w:left w:val="single" w:color="CCCCCC" w:sz="1"/><w:bottom w:val="single" w:color="CCCCCC" w:sz="1"/><w:right w:val="single" w:color="CCCCCC" w:sz="1"/></w:tcBorders><w:shd w:fill="D9A843" w:val="clear"/><w:tcMar><w:top w:type="dxa" w:w="80"/><w:left w:type="dxa" w:w="120"/><w:bottom w:type="dxa" w:w="80"/><w:right w:type="dxa" w:w="80"/></w:tcMar></w:tcPr><w:p><w:pPr><w:jc w:val="center"/></w:pPr><w:r><w:rPr><w:rFonts w:ascii="Georgia" w:cs="Georgia" w:eastAsia="Georgia" w:hAnsi="Georgia"/><w:b/><w:bCs/><w:color w:val="232E4F"/><w:sz w:val="28"/><w:szCs w:val="28"/></w:rPr><w:t xml:space="preserve">P</w:t></w:r></w:p></w:tc><w:tc><w:tcPr><w:tcW w:type="dxa" w:w="1735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Planifier</w:t></w:r></w:p></w:tc><w:tc><w:tcPr><w:tcW w:type="dxa" w:w="7132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Fixer les objectifs qualité annuels · Définir le plan d&apos;amélioration · Programmer les revues qualité trimestrielles</w:t></w:r></w:p></w:tc></w:tr><w:tr><w:tc><w:tcPr><w:tcW w:type="dxa" w:w="771"/><w:tcBorders><w:top w:val="single" w:color="CCCCCC" w:sz="1"/><w:left w:val="single" w:color="CCCCCC" w:sz="1"/><w:bottom w:val="single" w:color="CCCCCC" w:sz="1"/><w:right w:val="single" w:color="CCCCCC" w:sz="1"/></w:tcBorders><w:shd w:fill="D9A843" w:val="clear"/><w:tcMar><w:top w:type="dxa" w:w="80"/><w:left w:type="dxa" w:w="120"/><w:bottom w:type="dxa" w:w="80"/><w:right w:type="dxa" w:w="80"/></w:tcMar></w:tcPr><w:p><w:pPr><w:jc w:val="center"/></w:pPr><w:r><w:rPr><w:rFonts w:ascii="Georgia" w:cs="Georgia" w:eastAsia="Georgia" w:hAnsi="Georgia"/><w:b/><w:bCs/><w:color w:val="232E4F"/><w:sz w:val="28"/><w:szCs w:val="28"/></w:rPr><w:t xml:space="preserve">D</w:t></w:r></w:p></w:tc><w:tc><w:tcPr><w:tcW w:type="dxa" w:w="1735"/><w:tcBorders><w:top w:val="single" w:color="CCCCCC" w:sz="1"/><w:left w:val="single" w:color="CCCCCC" w:sz="1"/><w:bottom w:val="single" w:color="CCCCCC" w:sz="1"/><w:right w:val="single" w:color="CCCCCC" w:sz="1"/></w:tcBorders><w:shd w:fill="F0EFE8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Déployer</w:t></w:r></w:p></w:tc><w:tc><w:tcPr><w:tcW w:type="dxa" w:w="7132"/><w:tcBorders><w:top w:val="single" w:color="CCCCCC" w:sz="1"/><w:left w:val="single" w:color="CCCCCC" w:sz="1"/><w:bottom w:val="single" w:color="CCCCCC" w:sz="1"/><w:right w:val="single" w:color="CCCCCC" w:sz="1"/></w:tcBorders><w:shd w:fill="FAFAF8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Mettre en œuvre les actions planifiées · Former et informer · Collecter les données (satisfaction, abandons, incidents)</w:t></w:r></w:p></w:tc></w:tr><w:tr><w:tc><w:tcPr><w:tcW w:type="dxa" w:w="771"/><w:tcBorders><w:top w:val="single" w:color="CCCCCC" w:sz="1"/><w:left w:val="single" w:color="CCCCCC" w:sz="1"/><w:bottom w:val="single" w:color="CCCCCC" w:sz="1"/><w:right w:val="single" w:color="CCCCCC" w:sz="1"/></w:tcBorders><w:shd w:fill="D9A843" w:val="clear"/><w:tcMar><w:top w:type="dxa" w:w="80"/><w:left w:type="dxa" w:w="120"/><w:bottom w:type="dxa" w:w="80"/><w:right w:type="dxa" w:w="80"/></w:tcMar></w:tcPr><w:p><w:pPr><w:jc w:val="center"/></w:pPr><w:r><w:rPr><w:rFonts w:ascii="Georgia" w:cs="Georgia" w:eastAsia="Georgia" w:hAnsi="Georgia"/><w:b/><w:bCs/><w:color w:val="232E4F"/><w:sz w:val="28"/><w:szCs w:val="28"/></w:rPr><w:t xml:space="preserve">C</w:t></w:r></w:p></w:tc><w:tc><w:tcPr><w:tcW w:type="dxa" w:w="1735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Contrôler</w:t></w:r></w:p></w:tc><w:tc><w:tcPr><w:tcW w:type="dxa" w:w="7132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Analyser les indicateurs lors des revues trimestrielles · Vérifier l&apos;efficacité des actions · Comparer aux objectifs</w:t></w:r></w:p></w:tc></w:tr><w:tr><w:tc><w:tcPr><w:tcW w:type="dxa" w:w="771"/><w:tcBorders><w:top w:val="single" w:color="CCCCCC" w:sz="1"/><w:left w:val="single" w:color="CCCCCC" w:sz="1"/><w:bottom w:val="single" w:color="CCCCCC" w:sz="1"/><w:right w:val="single" w:color="CCCCCC" w:sz="1"/></w:tcBorders><w:shd w:fill="D9A843" w:val="clear"/><w:tcMar><w:top w:type="dxa" w:w="80"/><w:left w:type="dxa" w:w="120"/><w:bottom w:type="dxa" w:w="80"/><w:right w:type="dxa" w:w="80"/></w:tcMar></w:tcPr><w:p><w:pPr><w:jc w:val="center"/></w:pPr><w:r><w:rPr><w:rFonts w:ascii="Georgia" w:cs="Georgia" w:eastAsia="Georgia" w:hAnsi="Georgia"/><w:b/><w:bCs/><w:color w:val="232E4F"/><w:sz w:val="28"/><w:szCs w:val="28"/></w:rPr><w:t xml:space="preserve">A</w:t></w:r></w:p></w:tc><w:tc><w:tcPr><w:tcW w:type="dxa" w:w="1735"/><w:tcBorders><w:top w:val="single" w:color="CCCCCC" w:sz="1"/><w:left w:val="single" w:color="CCCCCC" w:sz="1"/><w:bottom w:val="single" w:color="CCCCCC" w:sz="1"/><w:right w:val="single" w:color="CCCCCC" w:sz="1"/></w:tcBorders><w:shd w:fill="F0EFE8" w:val="clear"/><w:tcMar><w:top w:type="dxa" w:w="80"/><w:left w:type="dxa" w:w="120"/><w:bottom w:type="dxa" w:w="80"/><w:right w:type="dxa" w:w="80"/></w:tcMar></w:tcPr><w:p><w:r><w:rPr><w:rFonts w:ascii="Georgia" w:cs="Georgia" w:eastAsia="Georgia" w:hAnsi="Georgia"/><w:b/><w:bCs/><w:color w:val="232E4F"/><w:sz w:val="28"/><w:szCs w:val="28"/></w:rPr><w:t xml:space="preserve">Ajuster</w:t></w:r></w:p></w:tc><w:tc><w:tcPr><w:tcW w:type="dxa" w:w="7132"/><w:tcBorders><w:top w:val="single" w:color="CCCCCC" w:sz="1"/><w:left w:val="single" w:color="CCCCCC" w:sz="1"/><w:bottom w:val="single" w:color="CCCCCC" w:sz="1"/><w:right w:val="single" w:color="CCCCCC" w:sz="1"/></w:tcBorders><w:shd w:fill="FAFAF8" w:val="clear"/><w:tcMar><w:top w:type="dxa" w:w="80"/><w:left w:type="dxa" w:w="120"/><w:bottom w:type="dxa" w:w="80"/><w:right w:type="dxa" w:w="80"/></w:tcMar></w:tcPr><w:p><w:r><w:rPr><w:rFonts w:ascii="Georgia" w:cs="Georgia" w:eastAsia="Georgia" w:hAnsi="Georgia"/><w:color w:val="1E293B"/><w:sz w:val="28"/><w:szCs w:val="28"/></w:rPr><w:t xml:space="preserve">Identifier les écarts · Corriger les non-conformités · Mettre à jour les documents · Planifier de nouvelles actions</w:t></w:r></w:p></w:tc></w:tr></w:tbl><w:p><w: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13"/><w:gridCol w:w="3213"/><w:gridCol w:w="3213"/></w:tblGrid><w:tr><w:tc><w:tcPr><w:tcW w:type="dxa" w:w="3213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100"/><w:left w:type="dxa" w:w="120"/><w:bottom w:type="dxa" w:w="140"/><w:right w:type="dxa" w:w="120"/></w:tcMar></w:tcPr><w:p><w:r><w:rPr><w:rFonts w:ascii="Georgia" w:cs="Georgia" w:eastAsia="Georgia" w:hAnsi="Georgia"/><w:b/><w:bCs/><w:color w:val="232E4F"/><w:sz w:val="28"/><w:szCs w:val="28"/></w:rPr><w:t xml:space="preserve">Référente qualité
Meryem Vitré</w:t></w:r></w:p><w:p><w:pPr><w:spacing w:before="40"/></w:pPr><w:r><w:rPr><w:rFonts w:ascii="Georgia" w:cs="Georgia" w:eastAsia="Georgia" w:hAnsi="Georgia"/><w:color w:val="1E293B"/><w:sz w:val="28"/><w:szCs w:val="28"/></w:rPr><w:t xml:space="preserve">Date : ....../....../......</w:t></w:r></w:p><w:p><w:r><w:rPr><w:rFonts w:ascii="Georgia" w:cs="Georgia" w:eastAsia="Georgia" w:hAnsi="Georgia"/><w:color w:val="1E293B"/><w:sz w:val="28"/><w:szCs w:val="28"/></w:rPr><w:t xml:space="preserve">Signature :</w:t></w:r></w:p><w:p><w:pPr><w:spacing w:before="200"/></w:pPr><w:r><w:t xml:space="preserve"></w:t></w:r></w:p></w:tc><w:tc><w:tcPr><w:tcW w:type="dxa" w:w="3213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100"/><w:left w:type="dxa" w:w="120"/><w:bottom w:type="dxa" w:w="140"/><w:right w:type="dxa" w:w="120"/></w:tcMar></w:tcPr><w:p><w:r><w:rPr><w:rFonts w:ascii="Georgia" w:cs="Georgia" w:eastAsia="Georgia" w:hAnsi="Georgia"/><w:b/><w:bCs/><w:color w:val="232E4F"/><w:sz w:val="28"/><w:szCs w:val="28"/></w:rPr><w:t xml:space="preserve">Date de validation</w:t></w:r></w:p><w:p><w:pPr><w:spacing w:before="40"/></w:pPr><w:r><w:rPr><w:rFonts w:ascii="Georgia" w:cs="Georgia" w:eastAsia="Georgia" w:hAnsi="Georgia"/><w:color w:val="1E293B"/><w:sz w:val="28"/><w:szCs w:val="28"/></w:rPr><w:t xml:space="preserve">Date : ....../....../......</w:t></w:r></w:p><w:p><w:r><w:rPr><w:rFonts w:ascii="Georgia" w:cs="Georgia" w:eastAsia="Georgia" w:hAnsi="Georgia"/><w:color w:val="1E293B"/><w:sz w:val="28"/><w:szCs w:val="28"/></w:rPr><w:t xml:space="preserve">Signature :</w:t></w:r></w:p><w:p><w:pPr><w:spacing w:before="200"/></w:pPr><w:r><w:t xml:space="preserve"></w:t></w:r></w:p></w:tc><w:tc><w:tcPr><w:tcW w:type="dxa" w:w="3213"/><w:tcBorders><w:top w:val="single" w:color="CCCCCC" w:sz="1"/><w:left w:val="single" w:color="CCCCCC" w:sz="1"/><w:bottom w:val="single" w:color="CCCCCC" w:sz="1"/><w:right w:val="single" w:color="CCCCCC" w:sz="1"/></w:tcBorders><w:shd w:fill="F5F4F0" w:val="clear"/><w:tcMar><w:top w:type="dxa" w:w="100"/><w:left w:type="dxa" w:w="120"/><w:bottom w:type="dxa" w:w="140"/><w:right w:type="dxa" w:w="120"/></w:tcMar></w:tcPr><w:p><w:r><w:rPr><w:rFonts w:ascii="Georgia" w:cs="Georgia" w:eastAsia="Georgia" w:hAnsi="Georgia"/><w:b/><w:bCs/><w:color w:val="232E4F"/><w:sz w:val="28"/><w:szCs w:val="28"/></w:rPr><w:t xml:space="preserve">Prochaine révision</w:t></w:r></w:p><w:p><w:pPr><w:spacing w:before="40"/></w:pPr><w:r><w:rPr><w:rFonts w:ascii="Georgia" w:cs="Georgia" w:eastAsia="Georgia" w:hAnsi="Georgia"/><w:color w:val="1E293B"/><w:sz w:val="28"/><w:szCs w:val="28"/></w:rPr><w:t xml:space="preserve">Date : ....../....../......</w:t></w:r></w:p><w:p><w:r><w:rPr><w:rFonts w:ascii="Georgia" w:cs="Georgia" w:eastAsia="Georgia" w:hAnsi="Georgia"/><w:color w:val="1E293B"/><w:sz w:val="28"/><w:szCs w:val="28"/></w:rPr><w:t xml:space="preserve">Signature :</w:t></w:r></w:p><w:p><w:pPr><w:spacing w:before="200"/></w:pPr><w:r><w:t xml:space="preserve"></w:t></w:r></w:p></w:tc></w:tr></w:tbl><w:sectPr><w:headerReference w:type="default" r:id="rId7"/><w:footerReference w:type="default" r:id="rId8"/><w:pgSz w:w="11906" w:h="16838" w:orient="portrait"/><w:pgMar w:top="1734" w:right="1134" w:bottom="15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Cartographie des Processus Qualité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2026-05-21T11:09:30.049Z</dcterms:created>
  <dcterms:modified xsi:type="dcterms:W3CDTF">2026-05-21T11:09:30.049Z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