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AUTO-EVAL-01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V2026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Fréquence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Trimestrielle + annuelle + avant tout audit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I31 — Critère 7</w:t>
            </w:r>
          </w:p>
        </w:tc>
      </w:tr>
    </w:tbl>
    <w:p>
      <w:r>
        <w:t xml:space="preserve"/>
      </w:r>
    </w:p>
    <w:p>
      <w:pPr>
        <w:pBdr>
          <w:left w:val="single" w:color="D9A843" w:sz="22"/>
        </w:pBdr>
        <w:shd w:fill="F5F4F0" w:val="clear"/>
        <w:spacing w:after="100" w:before="100"/>
      </w:pPr>
      <w:r>
        <w:rPr>
          <w:rFonts w:ascii="Georgia" w:cs="Georgia" w:eastAsia="Georgia" w:hAnsi="Georgia"/>
          <w:color w:val="232E4F"/>
          <w:sz w:val="28"/>
          <w:szCs w:val="28"/>
        </w:rPr>
        <w:t xml:space="preserve">  Grille d'auto-évaluation requise par l'indicateur I31. Légende : C = Conforme ✓ · E = En cours ⟳ · T = À traiter ✗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Date de l'auto-évaluation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.../.../......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Réalisée par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Meryem Vitré — Référente qualité MaïeutiCap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4337"/>
        <w:gridCol w:w="2699"/>
        <w:gridCol w:w="1157"/>
      </w:tblGrid>
      <w:tr>
        <w:trPr>
          <w:tblHeader/>
        </w:trP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Référence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 Qualiopi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Preuve(s) disponible(s)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Statut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 — Critère 1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Offre de formation publiée (conditions, délais, tarifs, financements, résultats)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 — Critère 1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Accessibilité PSH mentionnée dans l'offre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I3 — Critère 1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Indicateurs et méthodes de résultats communiqués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I4 — Critère 2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Analyse des besoins du bénéficiaire réalisée avant la prestation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I5 — Critère 2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Objectifs et contenus cohérents avec les besoins identifiés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I6 — Critère 2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Progression pédagogique individualisée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I7 — Critère 2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Besoins des commanditaires identifiés et pris en compte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I8 — Critère 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Moyens pédagogiques, techniques et humains adaptés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I9 — Critère 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Évaluations des acquis réalisées pendant la prestation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I10 — Critère 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Évaluation réalisée en fin de prestation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I11 — Critère 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Bénéficiaire informé des résultats et des suites possibles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I12 — Critère 3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Accueil et accompagnement des PSH adaptés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I13 — Critère 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Progression pédagogique mise en œuvre conformément aux engagements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I14 — Critère 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Outils et pratiques pédagogiques adaptés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I15 — Critère 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Formateurs qualifiés (titres, diplômes, compétences)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I16 — Critère 4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Coordination pédagogique assurée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I17 — Critère 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Veille légale et réglementaire réalisée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I18 — Critère 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Veille sur les innovations pédagogiques et technologiques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I19 — Critère 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Compétences des intervenants évaluées régulièrement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I20 — Critère 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Mesures pour le maintien et développement des compétences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I21 — Critère 5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Ressources pour l'intégration de nouveaux intervenants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I22 — Critère 6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Insertion dans l'environnement socio-économique local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I23 — Critère 6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Expertises, outils et réseaux PSH mobilisés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I24 — Critère 6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Réseau de partenaires socio-économiques mobilisé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I25 — Critère 6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Lutte contre l'illettrisme intégrée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I26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Appréciations des bénéficiaires recueillies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I27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Appréciations des financeurs et commanditaires recueillies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I28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Appréciations des équipes pédagogiques recueillies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I29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Appréciations analysées et améliorations mises en œuvre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I30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Réclamations et aléas traités dans un registre dédié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I31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Auto-évaluation périodique réalisée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  <w:tr>
        <w:tc>
          <w:tcPr>
            <w:tcW w:type="dxa" w:w="14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54670"/>
                <w:sz w:val="22"/>
                <w:szCs w:val="22"/>
              </w:rPr>
              <w:t xml:space="preserve">I32 — Critère 7</w:t>
            </w:r>
          </w:p>
        </w:tc>
        <w:tc>
          <w:tcPr>
            <w:tcW w:type="dxa" w:w="4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r>
              <w:rPr>
                <w:rFonts w:ascii="Georgia" w:cs="Georgia" w:eastAsia="Georgia" w:hAnsi="Georgia"/>
                <w:color w:val="1E293B"/>
                <w:sz w:val="22"/>
                <w:szCs w:val="22"/>
              </w:rPr>
              <w:t xml:space="preserve">Indicateurs de résultats suivis et publiés</w:t>
            </w:r>
          </w:p>
        </w:tc>
        <w:tc>
          <w:tcPr>
            <w:tcW w:type="dxa" w:w="26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10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66534"/>
                <w:sz w:val="28"/>
                <w:szCs w:val="28"/>
              </w:rPr>
              <w:t xml:space="preserve">☐ C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8"/>
                <w:szCs w:val="28"/>
              </w:rPr>
              <w:t xml:space="preserve">☐ E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991B1B"/>
                <w:sz w:val="28"/>
                <w:szCs w:val="28"/>
              </w:rPr>
              <w:t xml:space="preserve">☐ T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Conformes (C)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/ 32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5E8A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Indicateurs En cours (E)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/ 32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5467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D9A843"/>
                <w:sz w:val="28"/>
                <w:szCs w:val="28"/>
              </w:rPr>
              <w:t xml:space="preserve">Taux de conformité global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E293B"/>
                <w:sz w:val="28"/>
                <w:szCs w:val="28"/>
              </w:rPr>
              <w:t xml:space="preserve">......... %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Référente qualité
Meryem Vitré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Date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32E4F"/>
                <w:sz w:val="28"/>
                <w:szCs w:val="28"/>
              </w:rPr>
              <w:t xml:space="preserve">Prochaine revue</w:t>
            </w:r>
          </w:p>
          <w:p>
            <w:pPr>
              <w:spacing w:before="40"/>
            </w:pPr>
            <w:r>
              <w:rPr>
                <w:rFonts w:ascii="Georgia" w:cs="Georgia" w:eastAsia="Georgia" w:hAnsi="Georgia"/>
                <w:sz w:val="28"/>
                <w:szCs w:val="28"/>
              </w:rPr>
              <w:t xml:space="preserve">Date : ....../....../......</w:t>
            </w:r>
          </w:p>
          <w:p>
            <w:r>
              <w:rPr>
                <w:rFonts w:ascii="Georgia" w:cs="Georgia" w:eastAsia="Georgia" w:hAnsi="Georgia"/>
                <w:sz w:val="28"/>
                <w:szCs w:val="28"/>
              </w:rPr>
              <w:t xml:space="preserve">Signature :</w:t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80"/>
    </w:pPr>
    <w:r>
      <w:drawing>
        <wp:inline distT="0" distB="0" distL="0" distR="0">
          <wp:extent cx="523875" cy="142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875" cy="142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color w:val="799BA5"/>
        <w:sz w:val="28"/>
        <w:szCs w:val="28"/>
      </w:rPr>
      <w:t xml:space="preserve">  |  11 Rue G. Charbonnier —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1"/>
      <w:gridCol w:w="4819"/>
      <w:gridCol w:w="4048"/>
    </w:tblGrid>
    <w:tr>
      <w:tc>
        <w:tcPr>
          <w:tcW w:type="dxa" w:w="771"/>
          <w:tcBorders>
            <w:top w:val="none" w:sz="0"/>
            <w:left w:val="none" w:sz="0"/>
            <w:bottom w:val="none" w:sz="0"/>
            <w:right w:val="none" w:sz="0"/>
          </w:tcBorders>
          <w:shd w:fill="D9A843" w:val="clear"/>
          <w:tcMar>
            <w:top w:type="dxa" w:w="60"/>
            <w:left w:type="dxa" w:w="40"/>
            <w:bottom w:type="dxa" w:w="60"/>
            <w:right w:type="dxa" w:w="40"/>
          </w:tcMar>
        </w:tcPr>
        <w:p>
          <w:r>
            <w:t xml:space="preserve"/>
          </w:r>
        </w:p>
      </w:tc>
      <w:tc>
        <w:tcPr>
          <w:tcW w:type="dxa" w:w="4819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120"/>
            <w:bottom w:type="dxa" w:w="60"/>
            <w:right w:type="dxa" w:w="60"/>
          </w:tcMar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32E4F"/>
              <w:sz w:val="17"/>
              <w:szCs w:val="17"/>
            </w:rPr>
            <w:t xml:space="preserve">Grille Auto-Évaluation Qualiopi 32 Indicateurs</w:t>
          </w:r>
        </w:p>
        <w:p>
          <w:r>
            <w:rPr>
              <w:rFonts w:ascii="Georgia" w:cs="Georgia" w:eastAsia="Georgia" w:hAnsi="Georgia"/>
              <w:color w:val="799BA5"/>
              <w:sz w:val="22"/>
              <w:szCs w:val="22"/>
            </w:rPr>
            <w:t xml:space="preserve">V2026 · Qualiopi ✓ · NDA 93061024406</w:t>
          </w:r>
        </w:p>
      </w:tc>
      <w:tc>
        <w:tcPr>
          <w:tcW w:type="dxa" w:w="4048"/>
          <w:tcBorders>
            <w:top w:val="none" w:sz="0"/>
            <w:left w:val="none" w:sz="0"/>
            <w:bottom w:val="none" w:sz="0"/>
            <w:right w:val="none" w:sz="0"/>
          </w:tcBorders>
          <w:shd w:fill="FFFFFF" w:val="clear"/>
          <w:tcMar>
            <w:top w:type="dxa" w:w="60"/>
            <w:left w:type="dxa" w:w="60"/>
            <w:bottom w:type="dxa" w:w="60"/>
            <w:right w:type="dxa" w:w="8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42875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232E4F" w:sz="6"/>
      </w:pBdr>
      <w:spacing w:after="12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957b525650ac78123dcde7b1b2ef4b0625571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2026-05-21T11:09:30.539Z</dcterms:created>
  <dcterms:modified xsi:type="dcterms:W3CDTF">2026-05-21T11:09:30.540Z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