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84"/>
        <w:gridCol w:w="6554"/>
      </w:tblGrid>
      <w:tr>
        <w:tc>
          <w:tcPr>
            <w:tcW w:type="dxa" w:w="308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54670" w:val="clear"/>
            <w:tcMar>
              <w:top w:type="dxa" w:w="90"/>
              <w:left w:type="dxa" w:w="120"/>
              <w:bottom w:type="dxa" w:w="90"/>
              <w:right w:type="dxa" w:w="8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D9A843"/>
                <w:sz w:val="28"/>
                <w:szCs w:val="28"/>
              </w:rPr>
              <w:t xml:space="preserve">Référence</w:t>
            </w:r>
          </w:p>
        </w:tc>
        <w:tc>
          <w:tcPr>
            <w:tcW w:type="dxa" w:w="655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4F0" w:val="clear"/>
            <w:tcMar>
              <w:top w:type="dxa" w:w="90"/>
              <w:left w:type="dxa" w:w="120"/>
              <w:bottom w:type="dxa" w:w="90"/>
              <w:right w:type="dxa" w:w="80"/>
            </w:tcMar>
          </w:tcPr>
          <w:p>
            <w:r>
              <w:rPr>
                <w:rFonts w:ascii="Georgia" w:cs="Georgia" w:eastAsia="Georgia" w:hAnsi="Georgia"/>
                <w:color w:val="1E293B"/>
                <w:sz w:val="28"/>
                <w:szCs w:val="28"/>
              </w:rPr>
              <w:t xml:space="preserve">PROC-VEILLE-01</w:t>
            </w:r>
          </w:p>
        </w:tc>
      </w:tr>
      <w:tr>
        <w:tc>
          <w:tcPr>
            <w:tcW w:type="dxa" w:w="308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5E8A" w:val="clear"/>
            <w:tcMar>
              <w:top w:type="dxa" w:w="90"/>
              <w:left w:type="dxa" w:w="120"/>
              <w:bottom w:type="dxa" w:w="90"/>
              <w:right w:type="dxa" w:w="8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D9A843"/>
                <w:sz w:val="28"/>
                <w:szCs w:val="28"/>
              </w:rPr>
              <w:t xml:space="preserve">Version</w:t>
            </w:r>
          </w:p>
        </w:tc>
        <w:tc>
          <w:tcPr>
            <w:tcW w:type="dxa" w:w="655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FE8" w:val="clear"/>
            <w:tcMar>
              <w:top w:type="dxa" w:w="90"/>
              <w:left w:type="dxa" w:w="120"/>
              <w:bottom w:type="dxa" w:w="90"/>
              <w:right w:type="dxa" w:w="80"/>
            </w:tcMar>
          </w:tcPr>
          <w:p>
            <w:r>
              <w:rPr>
                <w:rFonts w:ascii="Georgia" w:cs="Georgia" w:eastAsia="Georgia" w:hAnsi="Georgia"/>
                <w:color w:val="1E293B"/>
                <w:sz w:val="28"/>
                <w:szCs w:val="28"/>
              </w:rPr>
              <w:t xml:space="preserve">V2026 — Mise à jour annuelle</w:t>
            </w:r>
          </w:p>
        </w:tc>
      </w:tr>
      <w:tr>
        <w:tc>
          <w:tcPr>
            <w:tcW w:type="dxa" w:w="308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54670" w:val="clear"/>
            <w:tcMar>
              <w:top w:type="dxa" w:w="90"/>
              <w:left w:type="dxa" w:w="120"/>
              <w:bottom w:type="dxa" w:w="90"/>
              <w:right w:type="dxa" w:w="8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D9A843"/>
                <w:sz w:val="28"/>
                <w:szCs w:val="28"/>
              </w:rPr>
              <w:t xml:space="preserve">Responsable</w:t>
            </w:r>
          </w:p>
        </w:tc>
        <w:tc>
          <w:tcPr>
            <w:tcW w:type="dxa" w:w="655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4F0" w:val="clear"/>
            <w:tcMar>
              <w:top w:type="dxa" w:w="90"/>
              <w:left w:type="dxa" w:w="120"/>
              <w:bottom w:type="dxa" w:w="90"/>
              <w:right w:type="dxa" w:w="80"/>
            </w:tcMar>
          </w:tcPr>
          <w:p>
            <w:r>
              <w:rPr>
                <w:rFonts w:ascii="Georgia" w:cs="Georgia" w:eastAsia="Georgia" w:hAnsi="Georgia"/>
                <w:color w:val="1E293B"/>
                <w:sz w:val="28"/>
                <w:szCs w:val="28"/>
              </w:rPr>
              <w:t xml:space="preserve">Meryem Vitré — Référente qualité</w:t>
            </w:r>
          </w:p>
        </w:tc>
      </w:tr>
      <w:tr>
        <w:tc>
          <w:tcPr>
            <w:tcW w:type="dxa" w:w="308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5E8A" w:val="clear"/>
            <w:tcMar>
              <w:top w:type="dxa" w:w="90"/>
              <w:left w:type="dxa" w:w="120"/>
              <w:bottom w:type="dxa" w:w="90"/>
              <w:right w:type="dxa" w:w="8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D9A843"/>
                <w:sz w:val="28"/>
                <w:szCs w:val="28"/>
              </w:rPr>
              <w:t xml:space="preserve">Indicateurs Qualiopi</w:t>
            </w:r>
          </w:p>
        </w:tc>
        <w:tc>
          <w:tcPr>
            <w:tcW w:type="dxa" w:w="655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FE8" w:val="clear"/>
            <w:tcMar>
              <w:top w:type="dxa" w:w="90"/>
              <w:left w:type="dxa" w:w="120"/>
              <w:bottom w:type="dxa" w:w="90"/>
              <w:right w:type="dxa" w:w="80"/>
            </w:tcMar>
          </w:tcPr>
          <w:p>
            <w:r>
              <w:rPr>
                <w:rFonts w:ascii="Georgia" w:cs="Georgia" w:eastAsia="Georgia" w:hAnsi="Georgia"/>
                <w:color w:val="1E293B"/>
                <w:sz w:val="28"/>
                <w:szCs w:val="28"/>
              </w:rPr>
              <w:t xml:space="preserve">I17, I18 — Critère 5</w:t>
            </w:r>
          </w:p>
        </w:tc>
      </w:tr>
    </w:tbl>
    <w:p>
      <w:r>
        <w:t xml:space="preserve"/>
      </w:r>
    </w:p>
    <w:p>
      <w:pPr>
        <w:pBdr>
          <w:bottom w:val="single" w:color="D9A843" w:sz="8"/>
        </w:pBdr>
        <w:spacing w:after="100" w:before="220"/>
      </w:pPr>
      <w:r>
        <w:rPr>
          <w:rFonts w:ascii="Georgia" w:cs="Georgia" w:eastAsia="Georgia" w:hAnsi="Georgia"/>
          <w:b/>
          <w:bCs/>
          <w:color w:val="232E4F"/>
          <w:sz w:val="28"/>
          <w:szCs w:val="28"/>
        </w:rPr>
        <w:t xml:space="preserve">1. Objectif</w:t>
      </w:r>
    </w:p>
    <w:p>
      <w:pPr>
        <w:spacing w:after="40" w:before="40"/>
      </w:pPr>
      <w:r>
        <w:rPr>
          <w:rFonts w:ascii="Georgia" w:cs="Georgia" w:eastAsia="Georgia" w:hAnsi="Georgia"/>
          <w:color w:val="1E293B"/>
          <w:sz w:val="22"/>
          <w:szCs w:val="22"/>
        </w:rPr>
        <w:t xml:space="preserve">Garantir que MaïeutiCap dispose en permanence d'une information actualisée sur les évolutions légales, réglementaires, pédagogiques et technologiques de son secteur, afin d'adapter ses prestations et maintenir sa conformité Qualiopi.</w:t>
      </w:r>
    </w:p>
    <w:p>
      <w:r>
        <w:t xml:space="preserve"/>
      </w:r>
    </w:p>
    <w:p>
      <w:pPr>
        <w:pBdr>
          <w:bottom w:val="single" w:color="D9A843" w:sz="8"/>
        </w:pBdr>
        <w:spacing w:after="100" w:before="220"/>
      </w:pPr>
      <w:r>
        <w:rPr>
          <w:rFonts w:ascii="Georgia" w:cs="Georgia" w:eastAsia="Georgia" w:hAnsi="Georgia"/>
          <w:b/>
          <w:bCs/>
          <w:color w:val="232E4F"/>
          <w:sz w:val="28"/>
          <w:szCs w:val="28"/>
        </w:rPr>
        <w:t xml:space="preserve">2. Types de veille pratiqués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10"/>
        <w:gridCol w:w="4337"/>
        <w:gridCol w:w="2891"/>
      </w:tblGrid>
      <w:tr>
        <w:trPr>
          <w:tblHeader/>
        </w:trPr>
        <w:tc>
          <w:tcPr>
            <w:tcW w:type="dxa" w:w="24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32E4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FFFFFF"/>
                <w:sz w:val="28"/>
                <w:szCs w:val="28"/>
              </w:rPr>
              <w:t xml:space="preserve">Type de veille</w:t>
            </w:r>
          </w:p>
        </w:tc>
        <w:tc>
          <w:tcPr>
            <w:tcW w:type="dxa" w:w="4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32E4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FFFFFF"/>
                <w:sz w:val="28"/>
                <w:szCs w:val="28"/>
              </w:rPr>
              <w:t xml:space="preserve">Contenu surveillé</w:t>
            </w:r>
          </w:p>
        </w:tc>
        <w:tc>
          <w:tcPr>
            <w:tcW w:type="dxa" w:w="289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32E4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FFFFFF"/>
                <w:sz w:val="28"/>
                <w:szCs w:val="28"/>
              </w:rPr>
              <w:t xml:space="preserve">Sources / Outils</w:t>
            </w:r>
          </w:p>
        </w:tc>
      </w:tr>
      <w:tr>
        <w:tc>
          <w:tcPr>
            <w:tcW w:type="dxa" w:w="24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232E4F"/>
                <w:sz w:val="28"/>
                <w:szCs w:val="28"/>
              </w:rPr>
              <w:t xml:space="preserve">Veille légale et réglementaire</w:t>
            </w:r>
          </w:p>
        </w:tc>
        <w:tc>
          <w:tcPr>
            <w:tcW w:type="dxa" w:w="4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1E293B"/>
                <w:sz w:val="28"/>
                <w:szCs w:val="28"/>
              </w:rPr>
              <w:t xml:space="preserve">Code du travail, décrets formation, arrêtés Qualiopi, EDOF, CPF, OPCO, jurisprudence</w:t>
            </w:r>
          </w:p>
        </w:tc>
        <w:tc>
          <w:tcPr>
            <w:tcW w:type="dxa" w:w="289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1E293B"/>
                <w:sz w:val="28"/>
                <w:szCs w:val="28"/>
              </w:rPr>
              <w:t xml:space="preserve">Legifrance, Formalerte (hebdo), Ministère du Travail, France Compétences</w:t>
            </w:r>
          </w:p>
        </w:tc>
      </w:tr>
      <w:tr>
        <w:tc>
          <w:tcPr>
            <w:tcW w:type="dxa" w:w="24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4F0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232E4F"/>
                <w:sz w:val="28"/>
                <w:szCs w:val="28"/>
              </w:rPr>
              <w:t xml:space="preserve">Veille Qualiopi et qualité</w:t>
            </w:r>
          </w:p>
        </w:tc>
        <w:tc>
          <w:tcPr>
            <w:tcW w:type="dxa" w:w="4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4F0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1E293B"/>
                <w:sz w:val="28"/>
                <w:szCs w:val="28"/>
              </w:rPr>
              <w:t xml:space="preserve">Évolutions du référentiel, guides COPANEF, jurisprudence audit, bonnes pratiques</w:t>
            </w:r>
          </w:p>
        </w:tc>
        <w:tc>
          <w:tcPr>
            <w:tcW w:type="dxa" w:w="289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4F0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1E293B"/>
                <w:sz w:val="28"/>
                <w:szCs w:val="28"/>
              </w:rPr>
              <w:t xml:space="preserve">Site COFRAC, publication France Compétences, réseaux OF certifiés</w:t>
            </w:r>
          </w:p>
        </w:tc>
      </w:tr>
      <w:tr>
        <w:tc>
          <w:tcPr>
            <w:tcW w:type="dxa" w:w="24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232E4F"/>
                <w:sz w:val="28"/>
                <w:szCs w:val="28"/>
              </w:rPr>
              <w:t xml:space="preserve">Veille pédagogique</w:t>
            </w:r>
          </w:p>
        </w:tc>
        <w:tc>
          <w:tcPr>
            <w:tcW w:type="dxa" w:w="4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1E293B"/>
                <w:sz w:val="28"/>
                <w:szCs w:val="28"/>
              </w:rPr>
              <w:t xml:space="preserve">Nouvelles méthodes d'accompagnement, recherches en sciences de l'éducation, outillage BC</w:t>
            </w:r>
          </w:p>
        </w:tc>
        <w:tc>
          <w:tcPr>
            <w:tcW w:type="dxa" w:w="289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1E293B"/>
                <w:sz w:val="28"/>
                <w:szCs w:val="28"/>
              </w:rPr>
              <w:t xml:space="preserve">Digiformag, revues AFREF, articles LinkedIn, congrès formateurs</w:t>
            </w:r>
          </w:p>
        </w:tc>
      </w:tr>
      <w:tr>
        <w:tc>
          <w:tcPr>
            <w:tcW w:type="dxa" w:w="24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4F0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232E4F"/>
                <w:sz w:val="28"/>
                <w:szCs w:val="28"/>
              </w:rPr>
              <w:t xml:space="preserve">Veille technologique</w:t>
            </w:r>
          </w:p>
        </w:tc>
        <w:tc>
          <w:tcPr>
            <w:tcW w:type="dxa" w:w="4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4F0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1E293B"/>
                <w:sz w:val="28"/>
                <w:szCs w:val="28"/>
              </w:rPr>
              <w:t xml:space="preserve">Outils numériques pédagogiques, IA et formation, plateformes e-learning, visioconférence</w:t>
            </w:r>
          </w:p>
        </w:tc>
        <w:tc>
          <w:tcPr>
            <w:tcW w:type="dxa" w:w="289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4F0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1E293B"/>
                <w:sz w:val="28"/>
                <w:szCs w:val="28"/>
              </w:rPr>
              <w:t xml:space="preserve">Digiformag, Product Hunt, webinaires EdTech, veille LinkedIn</w:t>
            </w:r>
          </w:p>
        </w:tc>
      </w:tr>
      <w:tr>
        <w:tc>
          <w:tcPr>
            <w:tcW w:type="dxa" w:w="24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232E4F"/>
                <w:sz w:val="28"/>
                <w:szCs w:val="28"/>
              </w:rPr>
              <w:t xml:space="preserve">Veille métier</w:t>
            </w:r>
          </w:p>
        </w:tc>
        <w:tc>
          <w:tcPr>
            <w:tcW w:type="dxa" w:w="4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1E293B"/>
                <w:sz w:val="28"/>
                <w:szCs w:val="28"/>
              </w:rPr>
              <w:t xml:space="preserve">Marché de l'emploi PACA, nouvelles certifications, RNCP, évolutions des métiers</w:t>
            </w:r>
          </w:p>
        </w:tc>
        <w:tc>
          <w:tcPr>
            <w:tcW w:type="dxa" w:w="289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1E293B"/>
                <w:sz w:val="28"/>
                <w:szCs w:val="28"/>
              </w:rPr>
              <w:t xml:space="preserve">ONISEP, France Travail, INSEE PACA, Observatoire des métiers</w:t>
            </w:r>
          </w:p>
        </w:tc>
      </w:tr>
      <w:tr>
        <w:tc>
          <w:tcPr>
            <w:tcW w:type="dxa" w:w="24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4F0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232E4F"/>
                <w:sz w:val="28"/>
                <w:szCs w:val="28"/>
              </w:rPr>
              <w:t xml:space="preserve">Veille accessibilité PSH</w:t>
            </w:r>
          </w:p>
        </w:tc>
        <w:tc>
          <w:tcPr>
            <w:tcW w:type="dxa" w:w="4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4F0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1E293B"/>
                <w:sz w:val="28"/>
                <w:szCs w:val="28"/>
              </w:rPr>
              <w:t xml:space="preserve">Nouvelles obligations, aides disponibles, outils d'adaptation pédagogique</w:t>
            </w:r>
          </w:p>
        </w:tc>
        <w:tc>
          <w:tcPr>
            <w:tcW w:type="dxa" w:w="289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4F0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1E293B"/>
                <w:sz w:val="28"/>
                <w:szCs w:val="28"/>
              </w:rPr>
              <w:t xml:space="preserve">Newsletter handicap, AFDAS, AGEFIPH, MDPH, Cap Emploi</w:t>
            </w:r>
          </w:p>
        </w:tc>
      </w:tr>
    </w:tbl>
    <w:p>
      <w:r>
        <w:t xml:space="preserve"/>
      </w:r>
    </w:p>
    <w:p>
      <w:pPr>
        <w:pBdr>
          <w:bottom w:val="single" w:color="D9A843" w:sz="8"/>
        </w:pBdr>
        <w:spacing w:after="100" w:before="220"/>
      </w:pPr>
      <w:r>
        <w:rPr>
          <w:rFonts w:ascii="Georgia" w:cs="Georgia" w:eastAsia="Georgia" w:hAnsi="Georgia"/>
          <w:b/>
          <w:bCs/>
          <w:color w:val="232E4F"/>
          <w:sz w:val="28"/>
          <w:szCs w:val="28"/>
        </w:rPr>
        <w:t xml:space="preserve">3. Organisation et fréquence de la veille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84"/>
        <w:gridCol w:w="6554"/>
      </w:tblGrid>
      <w:tr>
        <w:tc>
          <w:tcPr>
            <w:tcW w:type="dxa" w:w="308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54670" w:val="clear"/>
            <w:tcMar>
              <w:top w:type="dxa" w:w="90"/>
              <w:left w:type="dxa" w:w="120"/>
              <w:bottom w:type="dxa" w:w="90"/>
              <w:right w:type="dxa" w:w="8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D9A843"/>
                <w:sz w:val="28"/>
                <w:szCs w:val="28"/>
              </w:rPr>
              <w:t xml:space="preserve">Veille légale / Qualiopi</w:t>
            </w:r>
          </w:p>
        </w:tc>
        <w:tc>
          <w:tcPr>
            <w:tcW w:type="dxa" w:w="655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4F0" w:val="clear"/>
            <w:tcMar>
              <w:top w:type="dxa" w:w="90"/>
              <w:left w:type="dxa" w:w="120"/>
              <w:bottom w:type="dxa" w:w="90"/>
              <w:right w:type="dxa" w:w="80"/>
            </w:tcMar>
          </w:tcPr>
          <w:p>
            <w:r>
              <w:rPr>
                <w:rFonts w:ascii="Georgia" w:cs="Georgia" w:eastAsia="Georgia" w:hAnsi="Georgia"/>
                <w:color w:val="1E293B"/>
                <w:sz w:val="28"/>
                <w:szCs w:val="28"/>
              </w:rPr>
              <w:t xml:space="preserve">Hebdomadaire via Formalerte et Legifrance — Traitement dans les 7 jours</w:t>
            </w:r>
          </w:p>
        </w:tc>
      </w:tr>
      <w:tr>
        <w:tc>
          <w:tcPr>
            <w:tcW w:type="dxa" w:w="308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5E8A" w:val="clear"/>
            <w:tcMar>
              <w:top w:type="dxa" w:w="90"/>
              <w:left w:type="dxa" w:w="120"/>
              <w:bottom w:type="dxa" w:w="90"/>
              <w:right w:type="dxa" w:w="8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D9A843"/>
                <w:sz w:val="28"/>
                <w:szCs w:val="28"/>
              </w:rPr>
              <w:t xml:space="preserve">Veille pédagogique / technologique</w:t>
            </w:r>
          </w:p>
        </w:tc>
        <w:tc>
          <w:tcPr>
            <w:tcW w:type="dxa" w:w="655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FE8" w:val="clear"/>
            <w:tcMar>
              <w:top w:type="dxa" w:w="90"/>
              <w:left w:type="dxa" w:w="120"/>
              <w:bottom w:type="dxa" w:w="90"/>
              <w:right w:type="dxa" w:w="80"/>
            </w:tcMar>
          </w:tcPr>
          <w:p>
            <w:r>
              <w:rPr>
                <w:rFonts w:ascii="Georgia" w:cs="Georgia" w:eastAsia="Georgia" w:hAnsi="Georgia"/>
                <w:color w:val="1E293B"/>
                <w:sz w:val="28"/>
                <w:szCs w:val="28"/>
              </w:rPr>
              <w:t xml:space="preserve">Mensuelle — Synthèse lors des revues qualité trimestrielles</w:t>
            </w:r>
          </w:p>
        </w:tc>
      </w:tr>
      <w:tr>
        <w:tc>
          <w:tcPr>
            <w:tcW w:type="dxa" w:w="308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54670" w:val="clear"/>
            <w:tcMar>
              <w:top w:type="dxa" w:w="90"/>
              <w:left w:type="dxa" w:w="120"/>
              <w:bottom w:type="dxa" w:w="90"/>
              <w:right w:type="dxa" w:w="8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D9A843"/>
                <w:sz w:val="28"/>
                <w:szCs w:val="28"/>
              </w:rPr>
              <w:t xml:space="preserve">Veille métier</w:t>
            </w:r>
          </w:p>
        </w:tc>
        <w:tc>
          <w:tcPr>
            <w:tcW w:type="dxa" w:w="655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4F0" w:val="clear"/>
            <w:tcMar>
              <w:top w:type="dxa" w:w="90"/>
              <w:left w:type="dxa" w:w="120"/>
              <w:bottom w:type="dxa" w:w="90"/>
              <w:right w:type="dxa" w:w="80"/>
            </w:tcMar>
          </w:tcPr>
          <w:p>
            <w:r>
              <w:rPr>
                <w:rFonts w:ascii="Georgia" w:cs="Georgia" w:eastAsia="Georgia" w:hAnsi="Georgia"/>
                <w:color w:val="1E293B"/>
                <w:sz w:val="28"/>
                <w:szCs w:val="28"/>
              </w:rPr>
              <w:t xml:space="preserve">Trimestrielle — Analyse lors de la revue qualité T2 (Juin)</w:t>
            </w:r>
          </w:p>
        </w:tc>
      </w:tr>
      <w:tr>
        <w:tc>
          <w:tcPr>
            <w:tcW w:type="dxa" w:w="308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5E8A" w:val="clear"/>
            <w:tcMar>
              <w:top w:type="dxa" w:w="90"/>
              <w:left w:type="dxa" w:w="120"/>
              <w:bottom w:type="dxa" w:w="90"/>
              <w:right w:type="dxa" w:w="8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D9A843"/>
                <w:sz w:val="28"/>
                <w:szCs w:val="28"/>
              </w:rPr>
              <w:t xml:space="preserve">Veille accessibilité PSH</w:t>
            </w:r>
          </w:p>
        </w:tc>
        <w:tc>
          <w:tcPr>
            <w:tcW w:type="dxa" w:w="655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FE8" w:val="clear"/>
            <w:tcMar>
              <w:top w:type="dxa" w:w="90"/>
              <w:left w:type="dxa" w:w="120"/>
              <w:bottom w:type="dxa" w:w="90"/>
              <w:right w:type="dxa" w:w="80"/>
            </w:tcMar>
          </w:tcPr>
          <w:p>
            <w:r>
              <w:rPr>
                <w:rFonts w:ascii="Georgia" w:cs="Georgia" w:eastAsia="Georgia" w:hAnsi="Georgia"/>
                <w:color w:val="1E293B"/>
                <w:sz w:val="28"/>
                <w:szCs w:val="28"/>
              </w:rPr>
              <w:t xml:space="preserve">Mensuelle — Newsletter Handicap + Abonnements AFDAS</w:t>
            </w:r>
          </w:p>
        </w:tc>
      </w:tr>
      <w:tr>
        <w:tc>
          <w:tcPr>
            <w:tcW w:type="dxa" w:w="308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54670" w:val="clear"/>
            <w:tcMar>
              <w:top w:type="dxa" w:w="90"/>
              <w:left w:type="dxa" w:w="120"/>
              <w:bottom w:type="dxa" w:w="90"/>
              <w:right w:type="dxa" w:w="8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D9A843"/>
                <w:sz w:val="28"/>
                <w:szCs w:val="28"/>
              </w:rPr>
              <w:t xml:space="preserve">Outil de centralisation</w:t>
            </w:r>
          </w:p>
        </w:tc>
        <w:tc>
          <w:tcPr>
            <w:tcW w:type="dxa" w:w="655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4F0" w:val="clear"/>
            <w:tcMar>
              <w:top w:type="dxa" w:w="90"/>
              <w:left w:type="dxa" w:w="120"/>
              <w:bottom w:type="dxa" w:w="90"/>
              <w:right w:type="dxa" w:w="80"/>
            </w:tcMar>
          </w:tcPr>
          <w:p>
            <w:r>
              <w:rPr>
                <w:rFonts w:ascii="Georgia" w:cs="Georgia" w:eastAsia="Georgia" w:hAnsi="Georgia"/>
                <w:color w:val="1E293B"/>
                <w:sz w:val="28"/>
                <w:szCs w:val="28"/>
              </w:rPr>
              <w:t xml:space="preserve">Feedly (agrégateur) + LinkedIn + Tableau veille (TAB-VEILLE-01)</w:t>
            </w:r>
          </w:p>
        </w:tc>
      </w:tr>
    </w:tbl>
    <w:p>
      <w:r>
        <w:t xml:space="preserve"/>
      </w:r>
    </w:p>
    <w:p>
      <w:pPr>
        <w:pBdr>
          <w:bottom w:val="single" w:color="D9A843" w:sz="8"/>
        </w:pBdr>
        <w:spacing w:after="100" w:before="220"/>
      </w:pPr>
      <w:r>
        <w:rPr>
          <w:rFonts w:ascii="Georgia" w:cs="Georgia" w:eastAsia="Georgia" w:hAnsi="Georgia"/>
          <w:b/>
          <w:bCs/>
          <w:color w:val="232E4F"/>
          <w:sz w:val="28"/>
          <w:szCs w:val="28"/>
        </w:rPr>
        <w:t xml:space="preserve">4. Processus de traitement de la veille</w:t>
      </w:r>
    </w:p>
    <w:p>
      <w:pPr>
        <w:pStyle w:val="ListParagraph"/>
        <w:numPr>
          <w:ilvl w:val="0"/>
          <w:numId w:val="2"/>
        </w:numPr>
        <w:spacing w:after="25" w:before="25"/>
      </w:pPr>
      <w:r>
        <w:rPr>
          <w:rFonts w:ascii="Georgia" w:cs="Georgia" w:eastAsia="Georgia" w:hAnsi="Georgia"/>
          <w:b w:val="false"/>
          <w:bCs w:val="false"/>
          <w:color w:val="1E293B"/>
          <w:sz w:val="22"/>
          <w:szCs w:val="22"/>
        </w:rPr>
        <w:t xml:space="preserve">Collecte automatisée via Feedly (flux RSS) et alertes Google configurées</w:t>
      </w:r>
    </w:p>
    <w:p>
      <w:pPr>
        <w:pStyle w:val="ListParagraph"/>
        <w:numPr>
          <w:ilvl w:val="0"/>
          <w:numId w:val="2"/>
        </w:numPr>
        <w:spacing w:after="25" w:before="25"/>
      </w:pPr>
      <w:r>
        <w:rPr>
          <w:rFonts w:ascii="Georgia" w:cs="Georgia" w:eastAsia="Georgia" w:hAnsi="Georgia"/>
          <w:b w:val="false"/>
          <w:bCs w:val="false"/>
          <w:color w:val="1E293B"/>
          <w:sz w:val="22"/>
          <w:szCs w:val="22"/>
        </w:rPr>
        <w:t xml:space="preserve">Lecture hebdomadaire des alertes et classification : Urgent / Important / Information</w:t>
      </w:r>
    </w:p>
    <w:p>
      <w:pPr>
        <w:pStyle w:val="ListParagraph"/>
        <w:numPr>
          <w:ilvl w:val="0"/>
          <w:numId w:val="2"/>
        </w:numPr>
        <w:spacing w:after="25" w:before="25"/>
      </w:pPr>
      <w:r>
        <w:rPr>
          <w:rFonts w:ascii="Georgia" w:cs="Georgia" w:eastAsia="Georgia" w:hAnsi="Georgia"/>
          <w:b w:val="false"/>
          <w:bCs w:val="false"/>
          <w:color w:val="1E293B"/>
          <w:sz w:val="22"/>
          <w:szCs w:val="22"/>
        </w:rPr>
        <w:t xml:space="preserve">Enregistrement dans le tableau de veille avec date, source, thème et impact potentiel</w:t>
      </w:r>
    </w:p>
    <w:p>
      <w:pPr>
        <w:pStyle w:val="ListParagraph"/>
        <w:numPr>
          <w:ilvl w:val="0"/>
          <w:numId w:val="2"/>
        </w:numPr>
        <w:spacing w:after="25" w:before="25"/>
      </w:pPr>
      <w:r>
        <w:rPr>
          <w:rFonts w:ascii="Georgia" w:cs="Georgia" w:eastAsia="Georgia" w:hAnsi="Georgia"/>
          <w:b w:val="false"/>
          <w:bCs w:val="false"/>
          <w:color w:val="1E293B"/>
          <w:sz w:val="22"/>
          <w:szCs w:val="22"/>
        </w:rPr>
        <w:t xml:space="preserve">Analyse de l'impact sur les prestations MaïeutiCap lors des revues qualité trimestrielles</w:t>
      </w:r>
    </w:p>
    <w:p>
      <w:pPr>
        <w:pStyle w:val="ListParagraph"/>
        <w:numPr>
          <w:ilvl w:val="0"/>
          <w:numId w:val="2"/>
        </w:numPr>
        <w:spacing w:after="25" w:before="25"/>
      </w:pPr>
      <w:r>
        <w:rPr>
          <w:rFonts w:ascii="Georgia" w:cs="Georgia" w:eastAsia="Georgia" w:hAnsi="Georgia"/>
          <w:b w:val="false"/>
          <w:bCs w:val="false"/>
          <w:color w:val="1E293B"/>
          <w:sz w:val="22"/>
          <w:szCs w:val="22"/>
        </w:rPr>
        <w:t xml:space="preserve">Mise à jour des programmes et procédures si évolution réglementaire ou pédagogique</w:t>
      </w:r>
    </w:p>
    <w:p>
      <w:pPr>
        <w:pStyle w:val="ListParagraph"/>
        <w:numPr>
          <w:ilvl w:val="0"/>
          <w:numId w:val="2"/>
        </w:numPr>
        <w:spacing w:after="25" w:before="25"/>
      </w:pPr>
      <w:r>
        <w:rPr>
          <w:rFonts w:ascii="Georgia" w:cs="Georgia" w:eastAsia="Georgia" w:hAnsi="Georgia"/>
          <w:b w:val="false"/>
          <w:bCs w:val="false"/>
          <w:color w:val="1E293B"/>
          <w:sz w:val="22"/>
          <w:szCs w:val="22"/>
        </w:rPr>
        <w:t xml:space="preserve">Enregistrement de l'action de mise à jour dans le tableau d'amélioration continue (TAB-AMEL-01)</w:t>
      </w:r>
    </w:p>
    <w:p>
      <w:r>
        <w:t xml:space="preserve"/>
      </w:r>
    </w:p>
    <w:p>
      <w:pPr>
        <w:pBdr>
          <w:bottom w:val="single" w:color="D9A843" w:sz="8"/>
        </w:pBdr>
        <w:spacing w:after="100" w:before="220"/>
      </w:pPr>
      <w:r>
        <w:rPr>
          <w:rFonts w:ascii="Georgia" w:cs="Georgia" w:eastAsia="Georgia" w:hAnsi="Georgia"/>
          <w:b/>
          <w:bCs/>
          <w:color w:val="232E4F"/>
          <w:sz w:val="28"/>
          <w:szCs w:val="28"/>
        </w:rPr>
        <w:t xml:space="preserve">5. Traçabilité</w:t>
      </w:r>
    </w:p>
    <w:p>
      <w:pPr>
        <w:spacing w:after="40" w:before="40"/>
      </w:pPr>
      <w:r>
        <w:rPr>
          <w:rFonts w:ascii="Georgia" w:cs="Georgia" w:eastAsia="Georgia" w:hAnsi="Georgia"/>
          <w:color w:val="1E293B"/>
          <w:sz w:val="22"/>
          <w:szCs w:val="22"/>
        </w:rPr>
        <w:t xml:space="preserve">Toutes les veilles sont enregistrées dans le tableau de veille MaïeutiCap (TAB-VEILLE-01). Les actions mises en œuvre suite à une veille sont documentées dans le tableau d'amélioration continue. Les sources d'abonnement sont listées et mises à jour annuellement.</w:t>
      </w:r>
    </w:p>
    <w:p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13"/>
        <w:gridCol w:w="3213"/>
        <w:gridCol w:w="3213"/>
      </w:tblGrid>
      <w:tr>
        <w:tc>
          <w:tcPr>
            <w:tcW w:type="dxa" w:w="32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4F0" w:val="clear"/>
            <w:tcMar>
              <w:top w:type="dxa" w:w="100"/>
              <w:left w:type="dxa" w:w="120"/>
              <w:bottom w:type="dxa" w:w="140"/>
              <w:right w:type="dxa" w:w="12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232E4F"/>
                <w:sz w:val="28"/>
                <w:szCs w:val="28"/>
              </w:rPr>
              <w:t xml:space="preserve">Référente qualité
Meryem Vitré</w:t>
            </w:r>
          </w:p>
          <w:p>
            <w:pPr>
              <w:spacing w:before="40"/>
            </w:pPr>
            <w:r>
              <w:rPr>
                <w:rFonts w:ascii="Georgia" w:cs="Georgia" w:eastAsia="Georgia" w:hAnsi="Georgia"/>
                <w:sz w:val="28"/>
                <w:szCs w:val="28"/>
              </w:rPr>
              <w:t xml:space="preserve">Date : ....../....../......</w:t>
            </w:r>
          </w:p>
          <w:p>
            <w:r>
              <w:rPr>
                <w:rFonts w:ascii="Georgia" w:cs="Georgia" w:eastAsia="Georgia" w:hAnsi="Georgia"/>
                <w:sz w:val="28"/>
                <w:szCs w:val="28"/>
              </w:rPr>
              <w:t xml:space="preserve">Signature :</w:t>
            </w:r>
          </w:p>
          <w:p>
            <w:pPr>
              <w:spacing w:before="200"/>
            </w:pPr>
            <w:r>
              <w:t xml:space="preserve"/>
            </w:r>
          </w:p>
        </w:tc>
        <w:tc>
          <w:tcPr>
            <w:tcW w:type="dxa" w:w="32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4F0" w:val="clear"/>
            <w:tcMar>
              <w:top w:type="dxa" w:w="100"/>
              <w:left w:type="dxa" w:w="120"/>
              <w:bottom w:type="dxa" w:w="140"/>
              <w:right w:type="dxa" w:w="12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232E4F"/>
                <w:sz w:val="28"/>
                <w:szCs w:val="28"/>
              </w:rPr>
              <w:t xml:space="preserve">Date de validation</w:t>
            </w:r>
          </w:p>
          <w:p>
            <w:pPr>
              <w:spacing w:before="40"/>
            </w:pPr>
            <w:r>
              <w:rPr>
                <w:rFonts w:ascii="Georgia" w:cs="Georgia" w:eastAsia="Georgia" w:hAnsi="Georgia"/>
                <w:sz w:val="28"/>
                <w:szCs w:val="28"/>
              </w:rPr>
              <w:t xml:space="preserve">Date : ....../....../......</w:t>
            </w:r>
          </w:p>
          <w:p>
            <w:r>
              <w:rPr>
                <w:rFonts w:ascii="Georgia" w:cs="Georgia" w:eastAsia="Georgia" w:hAnsi="Georgia"/>
                <w:sz w:val="28"/>
                <w:szCs w:val="28"/>
              </w:rPr>
              <w:t xml:space="preserve">Signature :</w:t>
            </w:r>
          </w:p>
          <w:p>
            <w:pPr>
              <w:spacing w:before="200"/>
            </w:pPr>
            <w:r>
              <w:t xml:space="preserve"/>
            </w:r>
          </w:p>
        </w:tc>
        <w:tc>
          <w:tcPr>
            <w:tcW w:type="dxa" w:w="32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4F0" w:val="clear"/>
            <w:tcMar>
              <w:top w:type="dxa" w:w="100"/>
              <w:left w:type="dxa" w:w="120"/>
              <w:bottom w:type="dxa" w:w="140"/>
              <w:right w:type="dxa" w:w="12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232E4F"/>
                <w:sz w:val="28"/>
                <w:szCs w:val="28"/>
              </w:rPr>
              <w:t xml:space="preserve">Prochaine révision (jan. 2027)</w:t>
            </w:r>
          </w:p>
          <w:p>
            <w:pPr>
              <w:spacing w:before="40"/>
            </w:pPr>
            <w:r>
              <w:rPr>
                <w:rFonts w:ascii="Georgia" w:cs="Georgia" w:eastAsia="Georgia" w:hAnsi="Georgia"/>
                <w:sz w:val="28"/>
                <w:szCs w:val="28"/>
              </w:rPr>
              <w:t xml:space="preserve">Date : ....../....../......</w:t>
            </w:r>
          </w:p>
          <w:p>
            <w:r>
              <w:rPr>
                <w:rFonts w:ascii="Georgia" w:cs="Georgia" w:eastAsia="Georgia" w:hAnsi="Georgia"/>
                <w:sz w:val="28"/>
                <w:szCs w:val="28"/>
              </w:rPr>
              <w:t xml:space="preserve">Signature :</w:t>
            </w:r>
          </w:p>
          <w:p>
            <w:pPr>
              <w:spacing w:before="200"/>
            </w:pPr>
            <w:r>
              <w:t xml:space="preserve"/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834" w:right="1134" w:bottom="16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9A843" w:sz="6"/>
      </w:pBdr>
      <w:spacing w:before="80"/>
    </w:pPr>
    <w:r>
      <w:drawing>
        <wp:inline distT="0" distB="0" distL="0" distR="0">
          <wp:extent cx="523875" cy="142875"/>
          <wp:effectExtent t="0" r="0" b="0" l="0"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23875" cy="14287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Georgia" w:cs="Georgia" w:eastAsia="Georgia" w:hAnsi="Georgia"/>
        <w:color w:val="799BA5"/>
        <w:sz w:val="28"/>
        <w:szCs w:val="28"/>
      </w:rPr>
      <w:t xml:space="preserve">  |  11 Rue G. Charbonnier — 06300 Nice  |  contact@maieuticap.fr  |  06 76 07 83 70  |  NDA 93061024406  |  Page </w:t>
    </w:r>
    <w:pgNum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638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771"/>
      <w:gridCol w:w="4819"/>
      <w:gridCol w:w="4048"/>
    </w:tblGrid>
    <w:tr>
      <w:tc>
        <w:tcPr>
          <w:tcW w:type="dxa" w:w="771"/>
          <w:tcBorders>
            <w:top w:val="none" w:sz="0"/>
            <w:left w:val="none" w:sz="0"/>
            <w:bottom w:val="none" w:sz="0"/>
            <w:right w:val="none" w:sz="0"/>
          </w:tcBorders>
          <w:shd w:fill="D9A843" w:val="clear"/>
          <w:tcMar>
            <w:top w:type="dxa" w:w="60"/>
            <w:left w:type="dxa" w:w="40"/>
            <w:bottom w:type="dxa" w:w="60"/>
            <w:right w:type="dxa" w:w="40"/>
          </w:tcMar>
        </w:tcPr>
        <w:p>
          <w:r>
            <w:t xml:space="preserve"/>
          </w:r>
        </w:p>
      </w:tc>
      <w:tc>
        <w:tcPr>
          <w:tcW w:type="dxa" w:w="4819"/>
          <w:tcBorders>
            <w:top w:val="none" w:sz="0"/>
            <w:left w:val="none" w:sz="0"/>
            <w:bottom w:val="none" w:sz="0"/>
            <w:right w:val="none" w:sz="0"/>
          </w:tcBorders>
          <w:shd w:fill="FFFFFF" w:val="clear"/>
          <w:tcMar>
            <w:top w:type="dxa" w:w="60"/>
            <w:left w:type="dxa" w:w="120"/>
            <w:bottom w:type="dxa" w:w="60"/>
            <w:right w:type="dxa" w:w="60"/>
          </w:tcMar>
          <w:vAlign w:val="center"/>
        </w:tcPr>
        <w:p>
          <w:r>
            <w:rPr>
              <w:rFonts w:ascii="Georgia" w:cs="Georgia" w:eastAsia="Georgia" w:hAnsi="Georgia"/>
              <w:b/>
              <w:bCs/>
              <w:color w:val="232E4F"/>
              <w:sz w:val="17"/>
              <w:szCs w:val="17"/>
            </w:rPr>
            <w:t xml:space="preserve">Procédure de Veille Stratégique</w:t>
          </w:r>
        </w:p>
        <w:p>
          <w:r>
            <w:rPr>
              <w:rFonts w:ascii="Georgia" w:cs="Georgia" w:eastAsia="Georgia" w:hAnsi="Georgia"/>
              <w:color w:val="799BA5"/>
              <w:sz w:val="22"/>
              <w:szCs w:val="22"/>
            </w:rPr>
            <w:t xml:space="preserve">V2026 · Qualiopi ✓ · NDA 93061024406</w:t>
          </w:r>
        </w:p>
      </w:tc>
      <w:tc>
        <w:tcPr>
          <w:tcW w:type="dxa" w:w="4048"/>
          <w:tcBorders>
            <w:top w:val="none" w:sz="0"/>
            <w:left w:val="none" w:sz="0"/>
            <w:bottom w:val="none" w:sz="0"/>
            <w:right w:val="none" w:sz="0"/>
          </w:tcBorders>
          <w:shd w:fill="FFFFFF" w:val="clear"/>
          <w:tcMar>
            <w:top w:type="dxa" w:w="60"/>
            <w:left w:type="dxa" w:w="60"/>
            <w:bottom w:type="dxa" w:w="60"/>
            <w:right w:type="dxa" w:w="80"/>
          </w:tcMar>
          <w:vAlign w:val="center"/>
        </w:tcPr>
        <w:p>
          <w:pPr>
            <w:jc w:val="right"/>
          </w:pPr>
          <w:r>
            <w:drawing>
              <wp:inline distT="0" distB="0" distL="0" distR="0">
                <wp:extent cx="1428750" cy="400050"/>
                <wp:effectExtent t="0" r="0" b="0" l="0"/>
                <wp:docPr id="1" name="" descr="" titl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0" cstate="none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28750" cy="4000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</w:tbl>
  <w:p>
    <w:pPr>
      <w:pBdr>
        <w:bottom w:val="single" w:color="232E4F" w:sz="6"/>
      </w:pBdr>
      <w:spacing w:after="120" w:before="0"/>
    </w:pPr>
    <w:r>
      <w:t xml:space="preserve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8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☐"/>
      <w:lvlJc w:val="left"/>
      <w:pPr>
        <w:ind w:left="58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Georgia" w:cs="Georgia" w:eastAsia="Georgia" w:hAnsi="Georgi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><Relationship Id="rId0" Type="http://schemas.openxmlformats.org/officeDocument/2006/relationships/image" Target="media/db957b525650ac78123dcde7b1b2ef4b06255716.png"/></Relationships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db957b525650ac78123dcde7b1b2ef4b06255716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2026-05-21T11:09:30.766Z</dcterms:created>
  <dcterms:modified xsi:type="dcterms:W3CDTF">2026-05-21T11:09:30.766Z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