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6554"/>
      </w:tblGrid>
      <w:tr>
        <w:tc>
          <w:tcPr>
            <w:tcW w:type="dxa" w:w="3084"/>
            <w:tcBorders>
              <w:top w:val="single" w:color="CCCCCC" w:sz="1"/>
              <w:left w:val="single" w:color="CCCCCC" w:sz="1"/>
              <w:bottom w:val="single" w:color="CCCCCC" w:sz="1"/>
              <w:right w:val="single" w:color="CCCCCC" w:sz="1"/>
            </w:tcBorders>
            <w:shd w:fill="354670" w:val="clear"/>
            <w:tcMar>
              <w:top w:type="dxa" w:w="90"/>
              <w:left w:type="dxa" w:w="120"/>
              <w:bottom w:type="dxa" w:w="90"/>
              <w:right w:type="dxa" w:w="80"/>
            </w:tcMar>
          </w:tcPr>
          <w:p>
            <w:r>
              <w:rPr>
                <w:rFonts w:ascii="Georgia" w:cs="Georgia" w:eastAsia="Georgia" w:hAnsi="Georgia"/>
                <w:b/>
                <w:bCs/>
                <w:color w:val="D9A843"/>
                <w:sz w:val="28"/>
                <w:szCs w:val="28"/>
              </w:rPr>
              <w:t xml:space="preserve">Référence</w:t>
            </w:r>
          </w:p>
        </w:tc>
        <w:tc>
          <w:tcPr>
            <w:tcW w:type="dxa" w:w="6554"/>
            <w:tcBorders>
              <w:top w:val="single" w:color="CCCCCC" w:sz="1"/>
              <w:left w:val="single" w:color="CCCCCC" w:sz="1"/>
              <w:bottom w:val="single" w:color="CCCCCC" w:sz="1"/>
              <w:right w:val="single" w:color="CCCCCC" w:sz="1"/>
            </w:tcBorders>
            <w:shd w:fill="F5F4F0" w:val="clear"/>
            <w:tcMar>
              <w:top w:type="dxa" w:w="90"/>
              <w:left w:type="dxa" w:w="120"/>
              <w:bottom w:type="dxa" w:w="90"/>
              <w:right w:type="dxa" w:w="80"/>
            </w:tcMar>
          </w:tcPr>
          <w:p>
            <w:r>
              <w:rPr>
                <w:rFonts w:ascii="Georgia" w:cs="Georgia" w:eastAsia="Georgia" w:hAnsi="Georgia"/>
                <w:color w:val="1E293B"/>
                <w:sz w:val="28"/>
                <w:szCs w:val="28"/>
              </w:rPr>
              <w:t xml:space="preserve">ADAPT-PSH-01</w:t>
            </w:r>
          </w:p>
        </w:tc>
      </w:tr>
      <w:tr>
        <w:tc>
          <w:tcPr>
            <w:tcW w:type="dxa" w:w="3084"/>
            <w:tcBorders>
              <w:top w:val="single" w:color="CCCCCC" w:sz="1"/>
              <w:left w:val="single" w:color="CCCCCC" w:sz="1"/>
              <w:bottom w:val="single" w:color="CCCCCC" w:sz="1"/>
              <w:right w:val="single" w:color="CCCCCC" w:sz="1"/>
            </w:tcBorders>
            <w:shd w:fill="4A5E8A" w:val="clear"/>
            <w:tcMar>
              <w:top w:type="dxa" w:w="90"/>
              <w:left w:type="dxa" w:w="120"/>
              <w:bottom w:type="dxa" w:w="90"/>
              <w:right w:type="dxa" w:w="80"/>
            </w:tcMar>
          </w:tcPr>
          <w:p>
            <w:r>
              <w:rPr>
                <w:rFonts w:ascii="Georgia" w:cs="Georgia" w:eastAsia="Georgia" w:hAnsi="Georgia"/>
                <w:b/>
                <w:bCs/>
                <w:color w:val="D9A843"/>
                <w:sz w:val="28"/>
                <w:szCs w:val="28"/>
              </w:rPr>
              <w:t xml:space="preserve">Version</w:t>
            </w:r>
          </w:p>
        </w:tc>
        <w:tc>
          <w:tcPr>
            <w:tcW w:type="dxa" w:w="6554"/>
            <w:tcBorders>
              <w:top w:val="single" w:color="CCCCCC" w:sz="1"/>
              <w:left w:val="single" w:color="CCCCCC" w:sz="1"/>
              <w:bottom w:val="single" w:color="CCCCCC" w:sz="1"/>
              <w:right w:val="single" w:color="CCCCCC" w:sz="1"/>
            </w:tcBorders>
            <w:shd w:fill="F0EFE8" w:val="clear"/>
            <w:tcMar>
              <w:top w:type="dxa" w:w="90"/>
              <w:left w:type="dxa" w:w="120"/>
              <w:bottom w:type="dxa" w:w="90"/>
              <w:right w:type="dxa" w:w="80"/>
            </w:tcMar>
          </w:tcPr>
          <w:p>
            <w:r>
              <w:rPr>
                <w:rFonts w:ascii="Georgia" w:cs="Georgia" w:eastAsia="Georgia" w:hAnsi="Georgia"/>
                <w:color w:val="1E293B"/>
                <w:sz w:val="28"/>
                <w:szCs w:val="28"/>
              </w:rPr>
              <w:t xml:space="preserve">V2026</w:t>
            </w:r>
          </w:p>
        </w:tc>
      </w:tr>
      <w:tr>
        <w:tc>
          <w:tcPr>
            <w:tcW w:type="dxa" w:w="3084"/>
            <w:tcBorders>
              <w:top w:val="single" w:color="CCCCCC" w:sz="1"/>
              <w:left w:val="single" w:color="CCCCCC" w:sz="1"/>
              <w:bottom w:val="single" w:color="CCCCCC" w:sz="1"/>
              <w:right w:val="single" w:color="CCCCCC" w:sz="1"/>
            </w:tcBorders>
            <w:shd w:fill="354670" w:val="clear"/>
            <w:tcMar>
              <w:top w:type="dxa" w:w="90"/>
              <w:left w:type="dxa" w:w="120"/>
              <w:bottom w:type="dxa" w:w="90"/>
              <w:right w:type="dxa" w:w="80"/>
            </w:tcMar>
          </w:tcPr>
          <w:p>
            <w:r>
              <w:rPr>
                <w:rFonts w:ascii="Georgia" w:cs="Georgia" w:eastAsia="Georgia" w:hAnsi="Georgia"/>
                <w:b/>
                <w:bCs/>
                <w:color w:val="D9A843"/>
                <w:sz w:val="28"/>
                <w:szCs w:val="28"/>
              </w:rPr>
              <w:t xml:space="preserve">Référente Handicap</w:t>
            </w:r>
          </w:p>
        </w:tc>
        <w:tc>
          <w:tcPr>
            <w:tcW w:type="dxa" w:w="6554"/>
            <w:tcBorders>
              <w:top w:val="single" w:color="CCCCCC" w:sz="1"/>
              <w:left w:val="single" w:color="CCCCCC" w:sz="1"/>
              <w:bottom w:val="single" w:color="CCCCCC" w:sz="1"/>
              <w:right w:val="single" w:color="CCCCCC" w:sz="1"/>
            </w:tcBorders>
            <w:shd w:fill="F5F4F0" w:val="clear"/>
            <w:tcMar>
              <w:top w:type="dxa" w:w="90"/>
              <w:left w:type="dxa" w:w="120"/>
              <w:bottom w:type="dxa" w:w="90"/>
              <w:right w:type="dxa" w:w="80"/>
            </w:tcMar>
          </w:tcPr>
          <w:p>
            <w:r>
              <w:rPr>
                <w:rFonts w:ascii="Georgia" w:cs="Georgia" w:eastAsia="Georgia" w:hAnsi="Georgia"/>
                <w:color w:val="1E293B"/>
                <w:sz w:val="28"/>
                <w:szCs w:val="28"/>
              </w:rPr>
              <w:t xml:space="preserve">Meryem Vitré — contact@maieuticap.fr — 06 76 07 83 70</w:t>
            </w:r>
          </w:p>
        </w:tc>
      </w:tr>
      <w:tr>
        <w:tc>
          <w:tcPr>
            <w:tcW w:type="dxa" w:w="3084"/>
            <w:tcBorders>
              <w:top w:val="single" w:color="CCCCCC" w:sz="1"/>
              <w:left w:val="single" w:color="CCCCCC" w:sz="1"/>
              <w:bottom w:val="single" w:color="CCCCCC" w:sz="1"/>
              <w:right w:val="single" w:color="CCCCCC" w:sz="1"/>
            </w:tcBorders>
            <w:shd w:fill="4A5E8A" w:val="clear"/>
            <w:tcMar>
              <w:top w:type="dxa" w:w="90"/>
              <w:left w:type="dxa" w:w="120"/>
              <w:bottom w:type="dxa" w:w="90"/>
              <w:right w:type="dxa" w:w="80"/>
            </w:tcMar>
          </w:tcPr>
          <w:p>
            <w:r>
              <w:rPr>
                <w:rFonts w:ascii="Georgia" w:cs="Georgia" w:eastAsia="Georgia" w:hAnsi="Georgia"/>
                <w:b/>
                <w:bCs/>
                <w:color w:val="D9A843"/>
                <w:sz w:val="28"/>
                <w:szCs w:val="28"/>
              </w:rPr>
              <w:t xml:space="preserve">Indicateurs Qualiopi</w:t>
            </w:r>
          </w:p>
        </w:tc>
        <w:tc>
          <w:tcPr>
            <w:tcW w:type="dxa" w:w="6554"/>
            <w:tcBorders>
              <w:top w:val="single" w:color="CCCCCC" w:sz="1"/>
              <w:left w:val="single" w:color="CCCCCC" w:sz="1"/>
              <w:bottom w:val="single" w:color="CCCCCC" w:sz="1"/>
              <w:right w:val="single" w:color="CCCCCC" w:sz="1"/>
            </w:tcBorders>
            <w:shd w:fill="F0EFE8" w:val="clear"/>
            <w:tcMar>
              <w:top w:type="dxa" w:w="90"/>
              <w:left w:type="dxa" w:w="120"/>
              <w:bottom w:type="dxa" w:w="90"/>
              <w:right w:type="dxa" w:w="80"/>
            </w:tcMar>
          </w:tcPr>
          <w:p>
            <w:r>
              <w:rPr>
                <w:rFonts w:ascii="Georgia" w:cs="Georgia" w:eastAsia="Georgia" w:hAnsi="Georgia"/>
                <w:color w:val="1E293B"/>
                <w:sz w:val="28"/>
                <w:szCs w:val="28"/>
              </w:rPr>
              <w:t xml:space="preserve">I12, I23, I25 — Critères 3 et 6</w:t>
            </w:r>
          </w:p>
        </w:tc>
      </w:tr>
    </w:tbl>
    <w:p>
      <w:r>
        <w:t xml:space="preserve"/>
      </w:r>
    </w:p>
    <w:p>
      <w:pPr>
        <w:pBdr>
          <w:left w:val="single" w:color="18478D" w:sz="22"/>
        </w:pBdr>
        <w:shd w:fill="F5F4F0" w:val="clear"/>
        <w:spacing w:after="100" w:before="100"/>
      </w:pPr>
      <w:r>
        <w:rPr>
          <w:rFonts w:ascii="Georgia" w:cs="Georgia" w:eastAsia="Georgia" w:hAnsi="Georgia"/>
          <w:color w:val="232E4F"/>
          <w:sz w:val="28"/>
          <w:szCs w:val="28"/>
        </w:rPr>
        <w:t xml:space="preserve">  MaïeutiCap s'engage à accueillir et accompagner toute personne en situation de handicap (PSH) dans ses prestations de bilan de compétences et de formation. Ce document décrit notre dispositif d'accueil et d'adaptation, conformément aux exigences Qualiopi et au cadre législatif (Loi du 11 février 2005).</w:t>
      </w:r>
    </w:p>
    <w:p>
      <w:r>
        <w:t xml:space="preserve"/>
      </w:r>
    </w:p>
    <w:p>
      <w:pPr>
        <w:pBdr>
          <w:bottom w:val="single" w:color="D9A843" w:sz="8"/>
        </w:pBdr>
        <w:spacing w:after="100" w:before="220"/>
      </w:pPr>
      <w:r>
        <w:rPr>
          <w:rFonts w:ascii="Georgia" w:cs="Georgia" w:eastAsia="Georgia" w:hAnsi="Georgia"/>
          <w:b/>
          <w:bCs/>
          <w:color w:val="232E4F"/>
          <w:sz w:val="28"/>
          <w:szCs w:val="28"/>
        </w:rPr>
        <w:t xml:space="preserve">1. Référente Handicap — Rôle et coordonnées</w:t>
      </w:r>
    </w:p>
    <w:p>
      <w:pPr>
        <w:spacing w:after="40" w:before="40"/>
      </w:pPr>
      <w:r>
        <w:rPr>
          <w:rFonts w:ascii="Georgia" w:cs="Georgia" w:eastAsia="Georgia" w:hAnsi="Georgia"/>
          <w:color w:val="1E293B"/>
          <w:sz w:val="22"/>
          <w:szCs w:val="22"/>
        </w:rPr>
        <w:t xml:space="preserve">Meryem Vitré est la référente handicap de MaïeutiCap (formation AFDAS). Elle est votre interlocutrice unique pour toute question relative à l'accessibilité et aux adaptations.</w:t>
      </w:r>
    </w:p>
    <w:p>
      <w:pPr>
        <w:pStyle w:val="ListParagraph"/>
        <w:numPr>
          <w:ilvl w:val="0"/>
          <w:numId w:val="2"/>
        </w:numPr>
        <w:spacing w:after="25" w:before="25"/>
      </w:pPr>
      <w:r>
        <w:rPr>
          <w:rFonts w:ascii="Georgia" w:cs="Georgia" w:eastAsia="Georgia" w:hAnsi="Georgia"/>
          <w:b w:val="false"/>
          <w:bCs w:val="false"/>
          <w:color w:val="1E293B"/>
          <w:sz w:val="22"/>
          <w:szCs w:val="22"/>
        </w:rPr>
        <w:t xml:space="preserve">Contact : contact@maieuticap.fr · 06 76 07 83 70</w:t>
      </w:r>
    </w:p>
    <w:p>
      <w:pPr>
        <w:pStyle w:val="ListParagraph"/>
        <w:numPr>
          <w:ilvl w:val="0"/>
          <w:numId w:val="2"/>
        </w:numPr>
        <w:spacing w:after="25" w:before="25"/>
      </w:pPr>
      <w:r>
        <w:rPr>
          <w:rFonts w:ascii="Georgia" w:cs="Georgia" w:eastAsia="Georgia" w:hAnsi="Georgia"/>
          <w:b w:val="false"/>
          <w:bCs w:val="false"/>
          <w:color w:val="1E293B"/>
          <w:sz w:val="22"/>
          <w:szCs w:val="22"/>
        </w:rPr>
        <w:t xml:space="preserve">Disponible avant l'entretien préalable pour discuter des besoins spécifiques</w:t>
      </w:r>
    </w:p>
    <w:p>
      <w:pPr>
        <w:pStyle w:val="ListParagraph"/>
        <w:numPr>
          <w:ilvl w:val="0"/>
          <w:numId w:val="2"/>
        </w:numPr>
        <w:spacing w:after="25" w:before="25"/>
      </w:pPr>
      <w:r>
        <w:rPr>
          <w:rFonts w:ascii="Georgia" w:cs="Georgia" w:eastAsia="Georgia" w:hAnsi="Georgia"/>
          <w:b w:val="false"/>
          <w:bCs w:val="false"/>
          <w:color w:val="1E293B"/>
          <w:sz w:val="22"/>
          <w:szCs w:val="22"/>
        </w:rPr>
        <w:t xml:space="preserve">Assure la liaison avec les partenaires PSH (Cap Emploi, AGEFIPH, MDPH)</w:t>
      </w:r>
    </w:p>
    <w:p>
      <w:r>
        <w:t xml:space="preserve"/>
      </w:r>
    </w:p>
    <w:p>
      <w:pPr>
        <w:pBdr>
          <w:bottom w:val="single" w:color="D9A843" w:sz="8"/>
        </w:pBdr>
        <w:spacing w:after="100" w:before="220"/>
      </w:pPr>
      <w:r>
        <w:rPr>
          <w:rFonts w:ascii="Georgia" w:cs="Georgia" w:eastAsia="Georgia" w:hAnsi="Georgia"/>
          <w:b/>
          <w:bCs/>
          <w:color w:val="232E4F"/>
          <w:sz w:val="28"/>
          <w:szCs w:val="28"/>
        </w:rPr>
        <w:t xml:space="preserve">2. Accueil d'un bénéficiaire PSH — Démarche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6554"/>
      </w:tblGrid>
      <w:tr>
        <w:tc>
          <w:tcPr>
            <w:tcW w:type="dxa" w:w="3084"/>
            <w:tcBorders>
              <w:top w:val="single" w:color="CCCCCC" w:sz="1"/>
              <w:left w:val="single" w:color="CCCCCC" w:sz="1"/>
              <w:bottom w:val="single" w:color="CCCCCC" w:sz="1"/>
              <w:right w:val="single" w:color="CCCCCC" w:sz="1"/>
            </w:tcBorders>
            <w:shd w:fill="354670" w:val="clear"/>
            <w:tcMar>
              <w:top w:type="dxa" w:w="90"/>
              <w:left w:type="dxa" w:w="120"/>
              <w:bottom w:type="dxa" w:w="90"/>
              <w:right w:type="dxa" w:w="80"/>
            </w:tcMar>
          </w:tcPr>
          <w:p>
            <w:r>
              <w:rPr>
                <w:rFonts w:ascii="Georgia" w:cs="Georgia" w:eastAsia="Georgia" w:hAnsi="Georgia"/>
                <w:b/>
                <w:bCs/>
                <w:color w:val="D9A843"/>
                <w:sz w:val="28"/>
                <w:szCs w:val="28"/>
              </w:rPr>
              <w:t xml:space="preserve">Étape 1 — Signal PSH</w:t>
            </w:r>
          </w:p>
        </w:tc>
        <w:tc>
          <w:tcPr>
            <w:tcW w:type="dxa" w:w="6554"/>
            <w:tcBorders>
              <w:top w:val="single" w:color="CCCCCC" w:sz="1"/>
              <w:left w:val="single" w:color="CCCCCC" w:sz="1"/>
              <w:bottom w:val="single" w:color="CCCCCC" w:sz="1"/>
              <w:right w:val="single" w:color="CCCCCC" w:sz="1"/>
            </w:tcBorders>
            <w:shd w:fill="F5F4F0" w:val="clear"/>
            <w:tcMar>
              <w:top w:type="dxa" w:w="90"/>
              <w:left w:type="dxa" w:w="120"/>
              <w:bottom w:type="dxa" w:w="90"/>
              <w:right w:type="dxa" w:w="80"/>
            </w:tcMar>
          </w:tcPr>
          <w:p>
            <w:r>
              <w:rPr>
                <w:rFonts w:ascii="Georgia" w:cs="Georgia" w:eastAsia="Georgia" w:hAnsi="Georgia"/>
                <w:color w:val="1E293B"/>
                <w:sz w:val="28"/>
                <w:szCs w:val="28"/>
              </w:rPr>
              <w:t xml:space="preserve">Le bénéficiaire signale son handicap ou sa RQTH lors de l'entretien préalable (questionnaire PSH remis systématiquement)</w:t>
            </w:r>
          </w:p>
        </w:tc>
      </w:tr>
      <w:tr>
        <w:tc>
          <w:tcPr>
            <w:tcW w:type="dxa" w:w="3084"/>
            <w:tcBorders>
              <w:top w:val="single" w:color="CCCCCC" w:sz="1"/>
              <w:left w:val="single" w:color="CCCCCC" w:sz="1"/>
              <w:bottom w:val="single" w:color="CCCCCC" w:sz="1"/>
              <w:right w:val="single" w:color="CCCCCC" w:sz="1"/>
            </w:tcBorders>
            <w:shd w:fill="4A5E8A" w:val="clear"/>
            <w:tcMar>
              <w:top w:type="dxa" w:w="90"/>
              <w:left w:type="dxa" w:w="120"/>
              <w:bottom w:type="dxa" w:w="90"/>
              <w:right w:type="dxa" w:w="80"/>
            </w:tcMar>
          </w:tcPr>
          <w:p>
            <w:r>
              <w:rPr>
                <w:rFonts w:ascii="Georgia" w:cs="Georgia" w:eastAsia="Georgia" w:hAnsi="Georgia"/>
                <w:b/>
                <w:bCs/>
                <w:color w:val="D9A843"/>
                <w:sz w:val="28"/>
                <w:szCs w:val="28"/>
              </w:rPr>
              <w:t xml:space="preserve">Étape 2 — Échange confidentiel</w:t>
            </w:r>
          </w:p>
        </w:tc>
        <w:tc>
          <w:tcPr>
            <w:tcW w:type="dxa" w:w="6554"/>
            <w:tcBorders>
              <w:top w:val="single" w:color="CCCCCC" w:sz="1"/>
              <w:left w:val="single" w:color="CCCCCC" w:sz="1"/>
              <w:bottom w:val="single" w:color="CCCCCC" w:sz="1"/>
              <w:right w:val="single" w:color="CCCCCC" w:sz="1"/>
            </w:tcBorders>
            <w:shd w:fill="F0EFE8" w:val="clear"/>
            <w:tcMar>
              <w:top w:type="dxa" w:w="90"/>
              <w:left w:type="dxa" w:w="120"/>
              <w:bottom w:type="dxa" w:w="90"/>
              <w:right w:type="dxa" w:w="80"/>
            </w:tcMar>
          </w:tcPr>
          <w:p>
            <w:r>
              <w:rPr>
                <w:rFonts w:ascii="Georgia" w:cs="Georgia" w:eastAsia="Georgia" w:hAnsi="Georgia"/>
                <w:color w:val="1E293B"/>
                <w:sz w:val="28"/>
                <w:szCs w:val="28"/>
              </w:rPr>
              <w:t xml:space="preserve">Entretien confidentiel avec la référente pour comprendre les besoins et contraintes spécifiques</w:t>
            </w:r>
          </w:p>
        </w:tc>
      </w:tr>
      <w:tr>
        <w:tc>
          <w:tcPr>
            <w:tcW w:type="dxa" w:w="3084"/>
            <w:tcBorders>
              <w:top w:val="single" w:color="CCCCCC" w:sz="1"/>
              <w:left w:val="single" w:color="CCCCCC" w:sz="1"/>
              <w:bottom w:val="single" w:color="CCCCCC" w:sz="1"/>
              <w:right w:val="single" w:color="CCCCCC" w:sz="1"/>
            </w:tcBorders>
            <w:shd w:fill="354670" w:val="clear"/>
            <w:tcMar>
              <w:top w:type="dxa" w:w="90"/>
              <w:left w:type="dxa" w:w="120"/>
              <w:bottom w:type="dxa" w:w="90"/>
              <w:right w:type="dxa" w:w="80"/>
            </w:tcMar>
          </w:tcPr>
          <w:p>
            <w:r>
              <w:rPr>
                <w:rFonts w:ascii="Georgia" w:cs="Georgia" w:eastAsia="Georgia" w:hAnsi="Georgia"/>
                <w:b/>
                <w:bCs/>
                <w:color w:val="D9A843"/>
                <w:sz w:val="28"/>
                <w:szCs w:val="28"/>
              </w:rPr>
              <w:t xml:space="preserve">Étape 3 — Adaptations définies</w:t>
            </w:r>
          </w:p>
        </w:tc>
        <w:tc>
          <w:tcPr>
            <w:tcW w:type="dxa" w:w="6554"/>
            <w:tcBorders>
              <w:top w:val="single" w:color="CCCCCC" w:sz="1"/>
              <w:left w:val="single" w:color="CCCCCC" w:sz="1"/>
              <w:bottom w:val="single" w:color="CCCCCC" w:sz="1"/>
              <w:right w:val="single" w:color="CCCCCC" w:sz="1"/>
            </w:tcBorders>
            <w:shd w:fill="F5F4F0" w:val="clear"/>
            <w:tcMar>
              <w:top w:type="dxa" w:w="90"/>
              <w:left w:type="dxa" w:w="120"/>
              <w:bottom w:type="dxa" w:w="90"/>
              <w:right w:type="dxa" w:w="80"/>
            </w:tcMar>
          </w:tcPr>
          <w:p>
            <w:r>
              <w:rPr>
                <w:rFonts w:ascii="Georgia" w:cs="Georgia" w:eastAsia="Georgia" w:hAnsi="Georgia"/>
                <w:color w:val="1E293B"/>
                <w:sz w:val="28"/>
                <w:szCs w:val="28"/>
              </w:rPr>
              <w:t xml:space="preserve">Co-définition des adaptations à mettre en place avant le démarrage de la prestation</w:t>
            </w:r>
          </w:p>
        </w:tc>
      </w:tr>
      <w:tr>
        <w:tc>
          <w:tcPr>
            <w:tcW w:type="dxa" w:w="3084"/>
            <w:tcBorders>
              <w:top w:val="single" w:color="CCCCCC" w:sz="1"/>
              <w:left w:val="single" w:color="CCCCCC" w:sz="1"/>
              <w:bottom w:val="single" w:color="CCCCCC" w:sz="1"/>
              <w:right w:val="single" w:color="CCCCCC" w:sz="1"/>
            </w:tcBorders>
            <w:shd w:fill="4A5E8A" w:val="clear"/>
            <w:tcMar>
              <w:top w:type="dxa" w:w="90"/>
              <w:left w:type="dxa" w:w="120"/>
              <w:bottom w:type="dxa" w:w="90"/>
              <w:right w:type="dxa" w:w="80"/>
            </w:tcMar>
          </w:tcPr>
          <w:p>
            <w:r>
              <w:rPr>
                <w:rFonts w:ascii="Georgia" w:cs="Georgia" w:eastAsia="Georgia" w:hAnsi="Georgia"/>
                <w:b/>
                <w:bCs/>
                <w:color w:val="D9A843"/>
                <w:sz w:val="28"/>
                <w:szCs w:val="28"/>
              </w:rPr>
              <w:t xml:space="preserve">Étape 4 — Mobilisation du réseau</w:t>
            </w:r>
          </w:p>
        </w:tc>
        <w:tc>
          <w:tcPr>
            <w:tcW w:type="dxa" w:w="6554"/>
            <w:tcBorders>
              <w:top w:val="single" w:color="CCCCCC" w:sz="1"/>
              <w:left w:val="single" w:color="CCCCCC" w:sz="1"/>
              <w:bottom w:val="single" w:color="CCCCCC" w:sz="1"/>
              <w:right w:val="single" w:color="CCCCCC" w:sz="1"/>
            </w:tcBorders>
            <w:shd w:fill="F0EFE8" w:val="clear"/>
            <w:tcMar>
              <w:top w:type="dxa" w:w="90"/>
              <w:left w:type="dxa" w:w="120"/>
              <w:bottom w:type="dxa" w:w="90"/>
              <w:right w:type="dxa" w:w="80"/>
            </w:tcMar>
          </w:tcPr>
          <w:p>
            <w:r>
              <w:rPr>
                <w:rFonts w:ascii="Georgia" w:cs="Georgia" w:eastAsia="Georgia" w:hAnsi="Georgia"/>
                <w:color w:val="1E293B"/>
                <w:sz w:val="28"/>
                <w:szCs w:val="28"/>
              </w:rPr>
              <w:t xml:space="preserve">Contact avec Cap Emploi, AGEFIPH ou MDPH si aide financière ou accompagnement complémentaire nécessaire</w:t>
            </w:r>
          </w:p>
        </w:tc>
      </w:tr>
      <w:tr>
        <w:tc>
          <w:tcPr>
            <w:tcW w:type="dxa" w:w="3084"/>
            <w:tcBorders>
              <w:top w:val="single" w:color="CCCCCC" w:sz="1"/>
              <w:left w:val="single" w:color="CCCCCC" w:sz="1"/>
              <w:bottom w:val="single" w:color="CCCCCC" w:sz="1"/>
              <w:right w:val="single" w:color="CCCCCC" w:sz="1"/>
            </w:tcBorders>
            <w:shd w:fill="354670" w:val="clear"/>
            <w:tcMar>
              <w:top w:type="dxa" w:w="90"/>
              <w:left w:type="dxa" w:w="120"/>
              <w:bottom w:type="dxa" w:w="90"/>
              <w:right w:type="dxa" w:w="80"/>
            </w:tcMar>
          </w:tcPr>
          <w:p>
            <w:r>
              <w:rPr>
                <w:rFonts w:ascii="Georgia" w:cs="Georgia" w:eastAsia="Georgia" w:hAnsi="Georgia"/>
                <w:b/>
                <w:bCs/>
                <w:color w:val="D9A843"/>
                <w:sz w:val="28"/>
                <w:szCs w:val="28"/>
              </w:rPr>
              <w:t xml:space="preserve">Étape 5 — Suivi</w:t>
            </w:r>
          </w:p>
        </w:tc>
        <w:tc>
          <w:tcPr>
            <w:tcW w:type="dxa" w:w="6554"/>
            <w:tcBorders>
              <w:top w:val="single" w:color="CCCCCC" w:sz="1"/>
              <w:left w:val="single" w:color="CCCCCC" w:sz="1"/>
              <w:bottom w:val="single" w:color="CCCCCC" w:sz="1"/>
              <w:right w:val="single" w:color="CCCCCC" w:sz="1"/>
            </w:tcBorders>
            <w:shd w:fill="F5F4F0" w:val="clear"/>
            <w:tcMar>
              <w:top w:type="dxa" w:w="90"/>
              <w:left w:type="dxa" w:w="120"/>
              <w:bottom w:type="dxa" w:w="90"/>
              <w:right w:type="dxa" w:w="80"/>
            </w:tcMar>
          </w:tcPr>
          <w:p>
            <w:r>
              <w:rPr>
                <w:rFonts w:ascii="Georgia" w:cs="Georgia" w:eastAsia="Georgia" w:hAnsi="Georgia"/>
                <w:color w:val="1E293B"/>
                <w:sz w:val="28"/>
                <w:szCs w:val="28"/>
              </w:rPr>
              <w:t xml:space="preserve">Suivi régulier pendant la prestation — ajustement des adaptations si nécessaire</w:t>
            </w:r>
          </w:p>
        </w:tc>
      </w:tr>
    </w:tbl>
    <w:p>
      <w:r>
        <w:t xml:space="preserve"/>
      </w:r>
    </w:p>
    <w:p>
      <w:pPr>
        <w:pBdr>
          <w:bottom w:val="single" w:color="D9A843" w:sz="8"/>
        </w:pBdr>
        <w:spacing w:after="100" w:before="220"/>
      </w:pPr>
      <w:r>
        <w:rPr>
          <w:rFonts w:ascii="Georgia" w:cs="Georgia" w:eastAsia="Georgia" w:hAnsi="Georgia"/>
          <w:b/>
          <w:bCs/>
          <w:color w:val="232E4F"/>
          <w:sz w:val="28"/>
          <w:szCs w:val="28"/>
        </w:rPr>
        <w:t xml:space="preserve">3. Adaptations proposées par type de handicap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9"/>
      </w:tblGrid>
      <w:tr>
        <w:trPr>
          <w:tblHeader/>
        </w:trPr>
        <w:tc>
          <w:tcPr>
            <w:tcW w:type="dxa" w:w="2410"/>
            <w:tcBorders>
              <w:top w:val="single" w:color="CCCCCC" w:sz="1"/>
              <w:left w:val="single" w:color="CCCCCC" w:sz="1"/>
              <w:bottom w:val="single" w:color="CCCCCC" w:sz="1"/>
              <w:right w:val="single" w:color="CCCCCC" w:sz="1"/>
            </w:tcBorders>
            <w:shd w:fill="232E4F" w:val="clear"/>
            <w:tcMar>
              <w:top w:type="dxa" w:w="80"/>
              <w:left w:type="dxa" w:w="120"/>
              <w:bottom w:type="dxa" w:w="80"/>
              <w:right w:type="dxa" w:w="80"/>
            </w:tcMar>
          </w:tcPr>
          <w:p>
            <w:r>
              <w:rPr>
                <w:rFonts w:ascii="Georgia" w:cs="Georgia" w:eastAsia="Georgia" w:hAnsi="Georgia"/>
                <w:b/>
                <w:bCs/>
                <w:color w:val="FFFFFF"/>
                <w:sz w:val="28"/>
                <w:szCs w:val="28"/>
              </w:rPr>
              <w:t xml:space="preserve">Type de handicap</w:t>
            </w:r>
          </w:p>
        </w:tc>
        <w:tc>
          <w:tcPr>
            <w:tcW w:type="dxa" w:w="7229"/>
            <w:tcBorders>
              <w:top w:val="single" w:color="CCCCCC" w:sz="1"/>
              <w:left w:val="single" w:color="CCCCCC" w:sz="1"/>
              <w:bottom w:val="single" w:color="CCCCCC" w:sz="1"/>
              <w:right w:val="single" w:color="CCCCCC" w:sz="1"/>
            </w:tcBorders>
            <w:shd w:fill="232E4F" w:val="clear"/>
            <w:tcMar>
              <w:top w:type="dxa" w:w="80"/>
              <w:left w:type="dxa" w:w="120"/>
              <w:bottom w:type="dxa" w:w="80"/>
              <w:right w:type="dxa" w:w="80"/>
            </w:tcMar>
          </w:tcPr>
          <w:p>
            <w:r>
              <w:rPr>
                <w:rFonts w:ascii="Georgia" w:cs="Georgia" w:eastAsia="Georgia" w:hAnsi="Georgia"/>
                <w:b/>
                <w:bCs/>
                <w:color w:val="FFFFFF"/>
                <w:sz w:val="28"/>
                <w:szCs w:val="28"/>
              </w:rPr>
              <w:t xml:space="preserve">Adaptations proposées par MaïeutiCap</w:t>
            </w:r>
          </w:p>
        </w:tc>
      </w:tr>
      <w:tr>
        <w:tc>
          <w:tcPr>
            <w:tcW w:type="dxa" w:w="2410"/>
            <w:tcBorders>
              <w:top w:val="single" w:color="CCCCCC" w:sz="1"/>
              <w:left w:val="single" w:color="CCCCCC" w:sz="1"/>
              <w:bottom w:val="single" w:color="CCCCCC" w:sz="1"/>
              <w:right w:val="single" w:color="CCCCCC" w:sz="1"/>
            </w:tcBorders>
            <w:shd w:fill="FFFFFF" w:val="clear"/>
            <w:tcMar>
              <w:top w:type="dxa" w:w="90"/>
              <w:left w:type="dxa" w:w="100"/>
              <w:bottom w:type="dxa" w:w="100"/>
              <w:right w:type="dxa" w:w="80"/>
            </w:tcMar>
          </w:tcPr>
          <w:p>
            <w:r>
              <w:rPr>
                <w:rFonts w:ascii="Georgia" w:cs="Georgia" w:eastAsia="Georgia" w:hAnsi="Georgia"/>
                <w:b/>
                <w:bCs/>
                <w:color w:val="18478D"/>
                <w:sz w:val="28"/>
                <w:szCs w:val="28"/>
              </w:rPr>
              <w:t xml:space="preserve">Handicap moteur</w:t>
            </w:r>
          </w:p>
        </w:tc>
        <w:tc>
          <w:tcPr>
            <w:tcW w:type="dxa" w:w="7229"/>
            <w:tcBorders>
              <w:top w:val="single" w:color="CCCCCC" w:sz="1"/>
              <w:left w:val="single" w:color="CCCCCC" w:sz="1"/>
              <w:bottom w:val="single" w:color="CCCCCC" w:sz="1"/>
              <w:right w:val="single" w:color="CCCCCC" w:sz="1"/>
            </w:tcBorders>
            <w:shd w:fill="FFFFFF" w:val="clear"/>
            <w:tcMar>
              <w:top w:type="dxa" w:w="90"/>
              <w:left w:type="dxa" w:w="100"/>
              <w:bottom w:type="dxa" w:w="100"/>
              <w:right w:type="dxa" w:w="80"/>
            </w:tcMar>
          </w:tcPr>
          <w:p>
            <w:r>
              <w:rPr>
                <w:rFonts w:ascii="Georgia" w:cs="Georgia" w:eastAsia="Georgia" w:hAnsi="Georgia"/>
                <w:b w:val="false"/>
                <w:bCs w:val="false"/>
                <w:color w:val="1E293B"/>
                <w:sz w:val="28"/>
                <w:szCs w:val="28"/>
              </w:rPr>
              <w:t xml:space="preserve">Séances 100% distancielles disponibles · Durée des séances modulée · Supports envoyés en amont · Connexion par téléphone possible si difficultés numériques</w:t>
            </w:r>
          </w:p>
        </w:tc>
      </w:tr>
      <w:tr>
        <w:tc>
          <w:tcPr>
            <w:tcW w:type="dxa" w:w="2410"/>
            <w:tcBorders>
              <w:top w:val="single" w:color="CCCCCC" w:sz="1"/>
              <w:left w:val="single" w:color="CCCCCC" w:sz="1"/>
              <w:bottom w:val="single" w:color="CCCCCC" w:sz="1"/>
              <w:right w:val="single" w:color="CCCCCC" w:sz="1"/>
            </w:tcBorders>
            <w:shd w:fill="F5F4F0" w:val="clear"/>
            <w:tcMar>
              <w:top w:type="dxa" w:w="90"/>
              <w:left w:type="dxa" w:w="100"/>
              <w:bottom w:type="dxa" w:w="100"/>
              <w:right w:type="dxa" w:w="80"/>
            </w:tcMar>
          </w:tcPr>
          <w:p>
            <w:r>
              <w:rPr>
                <w:rFonts w:ascii="Georgia" w:cs="Georgia" w:eastAsia="Georgia" w:hAnsi="Georgia"/>
                <w:b/>
                <w:bCs/>
                <w:color w:val="18478D"/>
                <w:sz w:val="28"/>
                <w:szCs w:val="28"/>
              </w:rPr>
              <w:t xml:space="preserve">Handicap visuel</w:t>
            </w:r>
          </w:p>
        </w:tc>
        <w:tc>
          <w:tcPr>
            <w:tcW w:type="dxa" w:w="7229"/>
            <w:tcBorders>
              <w:top w:val="single" w:color="CCCCCC" w:sz="1"/>
              <w:left w:val="single" w:color="CCCCCC" w:sz="1"/>
              <w:bottom w:val="single" w:color="CCCCCC" w:sz="1"/>
              <w:right w:val="single" w:color="CCCCCC" w:sz="1"/>
            </w:tcBorders>
            <w:shd w:fill="F5F4F0" w:val="clear"/>
            <w:tcMar>
              <w:top w:type="dxa" w:w="90"/>
              <w:left w:type="dxa" w:w="100"/>
              <w:bottom w:type="dxa" w:w="100"/>
              <w:right w:type="dxa" w:w="80"/>
            </w:tcMar>
          </w:tcPr>
          <w:p>
            <w:r>
              <w:rPr>
                <w:rFonts w:ascii="Georgia" w:cs="Georgia" w:eastAsia="Georgia" w:hAnsi="Georgia"/>
                <w:b w:val="false"/>
                <w:bCs w:val="false"/>
                <w:color w:val="1E293B"/>
                <w:sz w:val="28"/>
                <w:szCs w:val="28"/>
              </w:rPr>
              <w:t xml:space="preserve">Documents en grande police (≥ 14pt) · Version audio disponible sur demande · Supports épurés et lisibles · Temps supplémentaire accordé</w:t>
            </w:r>
          </w:p>
        </w:tc>
      </w:tr>
      <w:tr>
        <w:tc>
          <w:tcPr>
            <w:tcW w:type="dxa" w:w="2410"/>
            <w:tcBorders>
              <w:top w:val="single" w:color="CCCCCC" w:sz="1"/>
              <w:left w:val="single" w:color="CCCCCC" w:sz="1"/>
              <w:bottom w:val="single" w:color="CCCCCC" w:sz="1"/>
              <w:right w:val="single" w:color="CCCCCC" w:sz="1"/>
            </w:tcBorders>
            <w:shd w:fill="FFFFFF" w:val="clear"/>
            <w:tcMar>
              <w:top w:type="dxa" w:w="90"/>
              <w:left w:type="dxa" w:w="100"/>
              <w:bottom w:type="dxa" w:w="100"/>
              <w:right w:type="dxa" w:w="80"/>
            </w:tcMar>
          </w:tcPr>
          <w:p>
            <w:r>
              <w:rPr>
                <w:rFonts w:ascii="Georgia" w:cs="Georgia" w:eastAsia="Georgia" w:hAnsi="Georgia"/>
                <w:b/>
                <w:bCs/>
                <w:color w:val="18478D"/>
                <w:sz w:val="28"/>
                <w:szCs w:val="28"/>
              </w:rPr>
              <w:t xml:space="preserve">Handicap auditif</w:t>
            </w:r>
          </w:p>
        </w:tc>
        <w:tc>
          <w:tcPr>
            <w:tcW w:type="dxa" w:w="7229"/>
            <w:tcBorders>
              <w:top w:val="single" w:color="CCCCCC" w:sz="1"/>
              <w:left w:val="single" w:color="CCCCCC" w:sz="1"/>
              <w:bottom w:val="single" w:color="CCCCCC" w:sz="1"/>
              <w:right w:val="single" w:color="CCCCCC" w:sz="1"/>
            </w:tcBorders>
            <w:shd w:fill="FFFFFF" w:val="clear"/>
            <w:tcMar>
              <w:top w:type="dxa" w:w="90"/>
              <w:left w:type="dxa" w:w="100"/>
              <w:bottom w:type="dxa" w:w="100"/>
              <w:right w:type="dxa" w:w="80"/>
            </w:tcMar>
          </w:tcPr>
          <w:p>
            <w:r>
              <w:rPr>
                <w:rFonts w:ascii="Georgia" w:cs="Georgia" w:eastAsia="Georgia" w:hAnsi="Georgia"/>
                <w:b w:val="false"/>
                <w:bCs w:val="false"/>
                <w:color w:val="1E293B"/>
                <w:sz w:val="28"/>
                <w:szCs w:val="28"/>
              </w:rPr>
              <w:t xml:space="preserve">Séances par écrit / chat possible · Sous-titres automatiques activés sur Teams · Documents écrits envoyés systématiquement · Reformulation par écrit</w:t>
            </w:r>
          </w:p>
        </w:tc>
      </w:tr>
      <w:tr>
        <w:tc>
          <w:tcPr>
            <w:tcW w:type="dxa" w:w="2410"/>
            <w:tcBorders>
              <w:top w:val="single" w:color="CCCCCC" w:sz="1"/>
              <w:left w:val="single" w:color="CCCCCC" w:sz="1"/>
              <w:bottom w:val="single" w:color="CCCCCC" w:sz="1"/>
              <w:right w:val="single" w:color="CCCCCC" w:sz="1"/>
            </w:tcBorders>
            <w:shd w:fill="F5F4F0" w:val="clear"/>
            <w:tcMar>
              <w:top w:type="dxa" w:w="90"/>
              <w:left w:type="dxa" w:w="100"/>
              <w:bottom w:type="dxa" w:w="100"/>
              <w:right w:type="dxa" w:w="80"/>
            </w:tcMar>
          </w:tcPr>
          <w:p>
            <w:r>
              <w:rPr>
                <w:rFonts w:ascii="Georgia" w:cs="Georgia" w:eastAsia="Georgia" w:hAnsi="Georgia"/>
                <w:b/>
                <w:bCs/>
                <w:color w:val="18478D"/>
                <w:sz w:val="28"/>
                <w:szCs w:val="28"/>
              </w:rPr>
              <w:t xml:space="preserve">Handicap cognitif / DYS</w:t>
            </w:r>
          </w:p>
        </w:tc>
        <w:tc>
          <w:tcPr>
            <w:tcW w:type="dxa" w:w="7229"/>
            <w:tcBorders>
              <w:top w:val="single" w:color="CCCCCC" w:sz="1"/>
              <w:left w:val="single" w:color="CCCCCC" w:sz="1"/>
              <w:bottom w:val="single" w:color="CCCCCC" w:sz="1"/>
              <w:right w:val="single" w:color="CCCCCC" w:sz="1"/>
            </w:tcBorders>
            <w:shd w:fill="F5F4F0" w:val="clear"/>
            <w:tcMar>
              <w:top w:type="dxa" w:w="90"/>
              <w:left w:type="dxa" w:w="100"/>
              <w:bottom w:type="dxa" w:w="100"/>
              <w:right w:type="dxa" w:w="80"/>
            </w:tcMar>
          </w:tcPr>
          <w:p>
            <w:r>
              <w:rPr>
                <w:rFonts w:ascii="Georgia" w:cs="Georgia" w:eastAsia="Georgia" w:hAnsi="Georgia"/>
                <w:b w:val="false"/>
                <w:bCs w:val="false"/>
                <w:color w:val="1E293B"/>
                <w:sz w:val="28"/>
                <w:szCs w:val="28"/>
              </w:rPr>
              <w:t xml:space="preserve">Séances plus courtes (1h max) · Supports visuels et schémas · Temps de traitement supplémentaire · Vocabulaire simplifié · Pas de travail écrit imposé</w:t>
            </w:r>
          </w:p>
        </w:tc>
      </w:tr>
      <w:tr>
        <w:tc>
          <w:tcPr>
            <w:tcW w:type="dxa" w:w="2410"/>
            <w:tcBorders>
              <w:top w:val="single" w:color="CCCCCC" w:sz="1"/>
              <w:left w:val="single" w:color="CCCCCC" w:sz="1"/>
              <w:bottom w:val="single" w:color="CCCCCC" w:sz="1"/>
              <w:right w:val="single" w:color="CCCCCC" w:sz="1"/>
            </w:tcBorders>
            <w:shd w:fill="FFFFFF" w:val="clear"/>
            <w:tcMar>
              <w:top w:type="dxa" w:w="90"/>
              <w:left w:type="dxa" w:w="100"/>
              <w:bottom w:type="dxa" w:w="100"/>
              <w:right w:type="dxa" w:w="80"/>
            </w:tcMar>
          </w:tcPr>
          <w:p>
            <w:r>
              <w:rPr>
                <w:rFonts w:ascii="Georgia" w:cs="Georgia" w:eastAsia="Georgia" w:hAnsi="Georgia"/>
                <w:b/>
                <w:bCs/>
                <w:color w:val="18478D"/>
                <w:sz w:val="28"/>
                <w:szCs w:val="28"/>
              </w:rPr>
              <w:t xml:space="preserve">Handicap psychique</w:t>
            </w:r>
          </w:p>
        </w:tc>
        <w:tc>
          <w:tcPr>
            <w:tcW w:type="dxa" w:w="7229"/>
            <w:tcBorders>
              <w:top w:val="single" w:color="CCCCCC" w:sz="1"/>
              <w:left w:val="single" w:color="CCCCCC" w:sz="1"/>
              <w:bottom w:val="single" w:color="CCCCCC" w:sz="1"/>
              <w:right w:val="single" w:color="CCCCCC" w:sz="1"/>
            </w:tcBorders>
            <w:shd w:fill="FFFFFF" w:val="clear"/>
            <w:tcMar>
              <w:top w:type="dxa" w:w="90"/>
              <w:left w:type="dxa" w:w="100"/>
              <w:bottom w:type="dxa" w:w="100"/>
              <w:right w:type="dxa" w:w="80"/>
            </w:tcMar>
          </w:tcPr>
          <w:p>
            <w:r>
              <w:rPr>
                <w:rFonts w:ascii="Georgia" w:cs="Georgia" w:eastAsia="Georgia" w:hAnsi="Georgia"/>
                <w:b w:val="false"/>
                <w:bCs w:val="false"/>
                <w:color w:val="1E293B"/>
                <w:sz w:val="28"/>
                <w:szCs w:val="28"/>
              </w:rPr>
              <w:t xml:space="preserve">Rythme adapté · Séances courtes et régulières · Cadre bienveillant et prévisible · Contact régulier entre séances · Orientations vers soignants si besoin</w:t>
            </w:r>
          </w:p>
        </w:tc>
      </w:tr>
      <w:tr>
        <w:tc>
          <w:tcPr>
            <w:tcW w:type="dxa" w:w="2410"/>
            <w:tcBorders>
              <w:top w:val="single" w:color="CCCCCC" w:sz="1"/>
              <w:left w:val="single" w:color="CCCCCC" w:sz="1"/>
              <w:bottom w:val="single" w:color="CCCCCC" w:sz="1"/>
              <w:right w:val="single" w:color="CCCCCC" w:sz="1"/>
            </w:tcBorders>
            <w:shd w:fill="F5F4F0" w:val="clear"/>
            <w:tcMar>
              <w:top w:type="dxa" w:w="90"/>
              <w:left w:type="dxa" w:w="100"/>
              <w:bottom w:type="dxa" w:w="100"/>
              <w:right w:type="dxa" w:w="80"/>
            </w:tcMar>
          </w:tcPr>
          <w:p>
            <w:r>
              <w:rPr>
                <w:rFonts w:ascii="Georgia" w:cs="Georgia" w:eastAsia="Georgia" w:hAnsi="Georgia"/>
                <w:b/>
                <w:bCs/>
                <w:color w:val="18478D"/>
                <w:sz w:val="28"/>
                <w:szCs w:val="28"/>
              </w:rPr>
              <w:t xml:space="preserve">Handicap invisibles / chroniques</w:t>
            </w:r>
          </w:p>
        </w:tc>
        <w:tc>
          <w:tcPr>
            <w:tcW w:type="dxa" w:w="7229"/>
            <w:tcBorders>
              <w:top w:val="single" w:color="CCCCCC" w:sz="1"/>
              <w:left w:val="single" w:color="CCCCCC" w:sz="1"/>
              <w:bottom w:val="single" w:color="CCCCCC" w:sz="1"/>
              <w:right w:val="single" w:color="CCCCCC" w:sz="1"/>
            </w:tcBorders>
            <w:shd w:fill="F5F4F0" w:val="clear"/>
            <w:tcMar>
              <w:top w:type="dxa" w:w="90"/>
              <w:left w:type="dxa" w:w="100"/>
              <w:bottom w:type="dxa" w:w="100"/>
              <w:right w:type="dxa" w:w="80"/>
            </w:tcMar>
          </w:tcPr>
          <w:p>
            <w:r>
              <w:rPr>
                <w:rFonts w:ascii="Georgia" w:cs="Georgia" w:eastAsia="Georgia" w:hAnsi="Georgia"/>
                <w:b w:val="false"/>
                <w:bCs w:val="false"/>
                <w:color w:val="1E293B"/>
                <w:sz w:val="28"/>
                <w:szCs w:val="28"/>
              </w:rPr>
              <w:t xml:space="preserve">Flexibilité des horaires et des dates · Report de séance facilité · Adaptation du volume de travail · Confidentialité absolue</w:t>
            </w:r>
          </w:p>
        </w:tc>
      </w:tr>
    </w:tbl>
    <w:p>
      <w:r>
        <w:t xml:space="preserve"/>
      </w:r>
    </w:p>
    <w:p>
      <w:pPr>
        <w:pBdr>
          <w:bottom w:val="single" w:color="D9A843" w:sz="8"/>
        </w:pBdr>
        <w:spacing w:after="100" w:before="220"/>
      </w:pPr>
      <w:r>
        <w:rPr>
          <w:rFonts w:ascii="Georgia" w:cs="Georgia" w:eastAsia="Georgia" w:hAnsi="Georgia"/>
          <w:b/>
          <w:bCs/>
          <w:color w:val="232E4F"/>
          <w:sz w:val="28"/>
          <w:szCs w:val="28"/>
        </w:rPr>
        <w:t xml:space="preserve">4. Réseau de partenaires PSH mobilisables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6554"/>
      </w:tblGrid>
      <w:tr>
        <w:tc>
          <w:tcPr>
            <w:tcW w:type="dxa" w:w="3084"/>
            <w:tcBorders>
              <w:top w:val="single" w:color="CCCCCC" w:sz="1"/>
              <w:left w:val="single" w:color="CCCCCC" w:sz="1"/>
              <w:bottom w:val="single" w:color="CCCCCC" w:sz="1"/>
              <w:right w:val="single" w:color="CCCCCC" w:sz="1"/>
            </w:tcBorders>
            <w:shd w:fill="354670" w:val="clear"/>
            <w:tcMar>
              <w:top w:type="dxa" w:w="90"/>
              <w:left w:type="dxa" w:w="120"/>
              <w:bottom w:type="dxa" w:w="90"/>
              <w:right w:type="dxa" w:w="80"/>
            </w:tcMar>
          </w:tcPr>
          <w:p>
            <w:r>
              <w:rPr>
                <w:rFonts w:ascii="Georgia" w:cs="Georgia" w:eastAsia="Georgia" w:hAnsi="Georgia"/>
                <w:b/>
                <w:bCs/>
                <w:color w:val="D9A843"/>
                <w:sz w:val="28"/>
                <w:szCs w:val="28"/>
              </w:rPr>
              <w:t xml:space="preserve">Cap Emploi PACA (06)</w:t>
            </w:r>
          </w:p>
        </w:tc>
        <w:tc>
          <w:tcPr>
            <w:tcW w:type="dxa" w:w="6554"/>
            <w:tcBorders>
              <w:top w:val="single" w:color="CCCCCC" w:sz="1"/>
              <w:left w:val="single" w:color="CCCCCC" w:sz="1"/>
              <w:bottom w:val="single" w:color="CCCCCC" w:sz="1"/>
              <w:right w:val="single" w:color="CCCCCC" w:sz="1"/>
            </w:tcBorders>
            <w:shd w:fill="F5F4F0" w:val="clear"/>
            <w:tcMar>
              <w:top w:type="dxa" w:w="90"/>
              <w:left w:type="dxa" w:w="120"/>
              <w:bottom w:type="dxa" w:w="90"/>
              <w:right w:type="dxa" w:w="80"/>
            </w:tcMar>
          </w:tcPr>
          <w:p>
            <w:r>
              <w:rPr>
                <w:rFonts w:ascii="Georgia" w:cs="Georgia" w:eastAsia="Georgia" w:hAnsi="Georgia"/>
                <w:color w:val="1E293B"/>
                <w:sz w:val="28"/>
                <w:szCs w:val="28"/>
              </w:rPr>
              <w:t xml:space="preserve">Accompagnement des personnes handicapées dans l'emploi et la formation</w:t>
            </w:r>
          </w:p>
        </w:tc>
      </w:tr>
      <w:tr>
        <w:tc>
          <w:tcPr>
            <w:tcW w:type="dxa" w:w="3084"/>
            <w:tcBorders>
              <w:top w:val="single" w:color="CCCCCC" w:sz="1"/>
              <w:left w:val="single" w:color="CCCCCC" w:sz="1"/>
              <w:bottom w:val="single" w:color="CCCCCC" w:sz="1"/>
              <w:right w:val="single" w:color="CCCCCC" w:sz="1"/>
            </w:tcBorders>
            <w:shd w:fill="4A5E8A" w:val="clear"/>
            <w:tcMar>
              <w:top w:type="dxa" w:w="90"/>
              <w:left w:type="dxa" w:w="120"/>
              <w:bottom w:type="dxa" w:w="90"/>
              <w:right w:type="dxa" w:w="80"/>
            </w:tcMar>
          </w:tcPr>
          <w:p>
            <w:r>
              <w:rPr>
                <w:rFonts w:ascii="Georgia" w:cs="Georgia" w:eastAsia="Georgia" w:hAnsi="Georgia"/>
                <w:b/>
                <w:bCs/>
                <w:color w:val="D9A843"/>
                <w:sz w:val="28"/>
                <w:szCs w:val="28"/>
              </w:rPr>
              <w:t xml:space="preserve">AGEFIPH</w:t>
            </w:r>
          </w:p>
        </w:tc>
        <w:tc>
          <w:tcPr>
            <w:tcW w:type="dxa" w:w="6554"/>
            <w:tcBorders>
              <w:top w:val="single" w:color="CCCCCC" w:sz="1"/>
              <w:left w:val="single" w:color="CCCCCC" w:sz="1"/>
              <w:bottom w:val="single" w:color="CCCCCC" w:sz="1"/>
              <w:right w:val="single" w:color="CCCCCC" w:sz="1"/>
            </w:tcBorders>
            <w:shd w:fill="F0EFE8" w:val="clear"/>
            <w:tcMar>
              <w:top w:type="dxa" w:w="90"/>
              <w:left w:type="dxa" w:w="120"/>
              <w:bottom w:type="dxa" w:w="90"/>
              <w:right w:type="dxa" w:w="80"/>
            </w:tcMar>
          </w:tcPr>
          <w:p>
            <w:r>
              <w:rPr>
                <w:rFonts w:ascii="Georgia" w:cs="Georgia" w:eastAsia="Georgia" w:hAnsi="Georgia"/>
                <w:color w:val="1E293B"/>
                <w:sz w:val="28"/>
                <w:szCs w:val="28"/>
              </w:rPr>
              <w:t xml:space="preserve">Aides financières à la formation pour les travailleurs handicapés</w:t>
            </w:r>
          </w:p>
        </w:tc>
      </w:tr>
      <w:tr>
        <w:tc>
          <w:tcPr>
            <w:tcW w:type="dxa" w:w="3084"/>
            <w:tcBorders>
              <w:top w:val="single" w:color="CCCCCC" w:sz="1"/>
              <w:left w:val="single" w:color="CCCCCC" w:sz="1"/>
              <w:bottom w:val="single" w:color="CCCCCC" w:sz="1"/>
              <w:right w:val="single" w:color="CCCCCC" w:sz="1"/>
            </w:tcBorders>
            <w:shd w:fill="354670" w:val="clear"/>
            <w:tcMar>
              <w:top w:type="dxa" w:w="90"/>
              <w:left w:type="dxa" w:w="120"/>
              <w:bottom w:type="dxa" w:w="90"/>
              <w:right w:type="dxa" w:w="80"/>
            </w:tcMar>
          </w:tcPr>
          <w:p>
            <w:r>
              <w:rPr>
                <w:rFonts w:ascii="Georgia" w:cs="Georgia" w:eastAsia="Georgia" w:hAnsi="Georgia"/>
                <w:b/>
                <w:bCs/>
                <w:color w:val="D9A843"/>
                <w:sz w:val="28"/>
                <w:szCs w:val="28"/>
              </w:rPr>
              <w:t xml:space="preserve">MDPH Alpes-Maritimes</w:t>
            </w:r>
          </w:p>
        </w:tc>
        <w:tc>
          <w:tcPr>
            <w:tcW w:type="dxa" w:w="6554"/>
            <w:tcBorders>
              <w:top w:val="single" w:color="CCCCCC" w:sz="1"/>
              <w:left w:val="single" w:color="CCCCCC" w:sz="1"/>
              <w:bottom w:val="single" w:color="CCCCCC" w:sz="1"/>
              <w:right w:val="single" w:color="CCCCCC" w:sz="1"/>
            </w:tcBorders>
            <w:shd w:fill="F5F4F0" w:val="clear"/>
            <w:tcMar>
              <w:top w:type="dxa" w:w="90"/>
              <w:left w:type="dxa" w:w="120"/>
              <w:bottom w:type="dxa" w:w="90"/>
              <w:right w:type="dxa" w:w="80"/>
            </w:tcMar>
          </w:tcPr>
          <w:p>
            <w:r>
              <w:rPr>
                <w:rFonts w:ascii="Georgia" w:cs="Georgia" w:eastAsia="Georgia" w:hAnsi="Georgia"/>
                <w:color w:val="1E293B"/>
                <w:sz w:val="28"/>
                <w:szCs w:val="28"/>
              </w:rPr>
              <w:t xml:space="preserve">Reconnaissance qualité travailleur handicapé (RQTH), orientations</w:t>
            </w:r>
          </w:p>
        </w:tc>
      </w:tr>
      <w:tr>
        <w:tc>
          <w:tcPr>
            <w:tcW w:type="dxa" w:w="3084"/>
            <w:tcBorders>
              <w:top w:val="single" w:color="CCCCCC" w:sz="1"/>
              <w:left w:val="single" w:color="CCCCCC" w:sz="1"/>
              <w:bottom w:val="single" w:color="CCCCCC" w:sz="1"/>
              <w:right w:val="single" w:color="CCCCCC" w:sz="1"/>
            </w:tcBorders>
            <w:shd w:fill="4A5E8A" w:val="clear"/>
            <w:tcMar>
              <w:top w:type="dxa" w:w="90"/>
              <w:left w:type="dxa" w:w="120"/>
              <w:bottom w:type="dxa" w:w="90"/>
              <w:right w:type="dxa" w:w="80"/>
            </w:tcMar>
          </w:tcPr>
          <w:p>
            <w:r>
              <w:rPr>
                <w:rFonts w:ascii="Georgia" w:cs="Georgia" w:eastAsia="Georgia" w:hAnsi="Georgia"/>
                <w:b/>
                <w:bCs/>
                <w:color w:val="D9A843"/>
                <w:sz w:val="28"/>
                <w:szCs w:val="28"/>
              </w:rPr>
              <w:t xml:space="preserve">France Travail (ex-Pôle Emploi)</w:t>
            </w:r>
          </w:p>
        </w:tc>
        <w:tc>
          <w:tcPr>
            <w:tcW w:type="dxa" w:w="6554"/>
            <w:tcBorders>
              <w:top w:val="single" w:color="CCCCCC" w:sz="1"/>
              <w:left w:val="single" w:color="CCCCCC" w:sz="1"/>
              <w:bottom w:val="single" w:color="CCCCCC" w:sz="1"/>
              <w:right w:val="single" w:color="CCCCCC" w:sz="1"/>
            </w:tcBorders>
            <w:shd w:fill="F0EFE8" w:val="clear"/>
            <w:tcMar>
              <w:top w:type="dxa" w:w="90"/>
              <w:left w:type="dxa" w:w="120"/>
              <w:bottom w:type="dxa" w:w="90"/>
              <w:right w:type="dxa" w:w="80"/>
            </w:tcMar>
          </w:tcPr>
          <w:p>
            <w:r>
              <w:rPr>
                <w:rFonts w:ascii="Georgia" w:cs="Georgia" w:eastAsia="Georgia" w:hAnsi="Georgia"/>
                <w:color w:val="1E293B"/>
                <w:sz w:val="28"/>
                <w:szCs w:val="28"/>
              </w:rPr>
              <w:t xml:space="preserve">Accompagnement et financement pour demandeurs d'emploi PSH</w:t>
            </w:r>
          </w:p>
        </w:tc>
      </w:tr>
      <w:tr>
        <w:tc>
          <w:tcPr>
            <w:tcW w:type="dxa" w:w="3084"/>
            <w:tcBorders>
              <w:top w:val="single" w:color="CCCCCC" w:sz="1"/>
              <w:left w:val="single" w:color="CCCCCC" w:sz="1"/>
              <w:bottom w:val="single" w:color="CCCCCC" w:sz="1"/>
              <w:right w:val="single" w:color="CCCCCC" w:sz="1"/>
            </w:tcBorders>
            <w:shd w:fill="354670" w:val="clear"/>
            <w:tcMar>
              <w:top w:type="dxa" w:w="90"/>
              <w:left w:type="dxa" w:w="120"/>
              <w:bottom w:type="dxa" w:w="90"/>
              <w:right w:type="dxa" w:w="80"/>
            </w:tcMar>
          </w:tcPr>
          <w:p>
            <w:r>
              <w:rPr>
                <w:rFonts w:ascii="Georgia" w:cs="Georgia" w:eastAsia="Georgia" w:hAnsi="Georgia"/>
                <w:b/>
                <w:bCs/>
                <w:color w:val="D9A843"/>
                <w:sz w:val="28"/>
                <w:szCs w:val="28"/>
              </w:rPr>
              <w:t xml:space="preserve">Opérateur de Compétences (OPCO)</w:t>
            </w:r>
          </w:p>
        </w:tc>
        <w:tc>
          <w:tcPr>
            <w:tcW w:type="dxa" w:w="6554"/>
            <w:tcBorders>
              <w:top w:val="single" w:color="CCCCCC" w:sz="1"/>
              <w:left w:val="single" w:color="CCCCCC" w:sz="1"/>
              <w:bottom w:val="single" w:color="CCCCCC" w:sz="1"/>
              <w:right w:val="single" w:color="CCCCCC" w:sz="1"/>
            </w:tcBorders>
            <w:shd w:fill="F5F4F0" w:val="clear"/>
            <w:tcMar>
              <w:top w:type="dxa" w:w="90"/>
              <w:left w:type="dxa" w:w="120"/>
              <w:bottom w:type="dxa" w:w="90"/>
              <w:right w:type="dxa" w:w="80"/>
            </w:tcMar>
          </w:tcPr>
          <w:p>
            <w:r>
              <w:rPr>
                <w:rFonts w:ascii="Georgia" w:cs="Georgia" w:eastAsia="Georgia" w:hAnsi="Georgia"/>
                <w:color w:val="1E293B"/>
                <w:sz w:val="28"/>
                <w:szCs w:val="28"/>
              </w:rPr>
              <w:t xml:space="preserve">Prise en charge des coûts supplémentaires liés aux adaptations</w:t>
            </w:r>
          </w:p>
        </w:tc>
      </w:tr>
    </w:tbl>
    <w:p>
      <w:r>
        <w:t xml:space="preserve"/>
      </w:r>
    </w:p>
    <w:p>
      <w:pPr>
        <w:pBdr>
          <w:bottom w:val="single" w:color="D9A843" w:sz="8"/>
        </w:pBdr>
        <w:spacing w:after="100" w:before="220"/>
      </w:pPr>
      <w:r>
        <w:rPr>
          <w:rFonts w:ascii="Georgia" w:cs="Georgia" w:eastAsia="Georgia" w:hAnsi="Georgia"/>
          <w:b/>
          <w:bCs/>
          <w:color w:val="232E4F"/>
          <w:sz w:val="28"/>
          <w:szCs w:val="28"/>
        </w:rPr>
        <w:t xml:space="preserve">5. Engagements MaïeutiCap envers les PSH</w:t>
      </w:r>
    </w:p>
    <w:p>
      <w:pPr>
        <w:pStyle w:val="ListParagraph"/>
        <w:numPr>
          <w:ilvl w:val="0"/>
          <w:numId w:val="2"/>
        </w:numPr>
        <w:spacing w:after="25" w:before="25"/>
      </w:pPr>
      <w:r>
        <w:rPr>
          <w:rFonts w:ascii="Georgia" w:cs="Georgia" w:eastAsia="Georgia" w:hAnsi="Georgia"/>
          <w:b w:val="bold"/>
          <w:bCs w:val="bold"/>
          <w:color w:val="1E293B"/>
          <w:sz w:val="22"/>
          <w:szCs w:val="22"/>
        </w:rPr>
        <w:t xml:space="preserve">Aucun refus d'accueil basé uniquement sur le handicap</w:t>
      </w:r>
    </w:p>
    <w:p>
      <w:pPr>
        <w:pStyle w:val="ListParagraph"/>
        <w:numPr>
          <w:ilvl w:val="0"/>
          <w:numId w:val="2"/>
        </w:numPr>
        <w:spacing w:after="25" w:before="25"/>
      </w:pPr>
      <w:r>
        <w:rPr>
          <w:rFonts w:ascii="Georgia" w:cs="Georgia" w:eastAsia="Georgia" w:hAnsi="Georgia"/>
          <w:b w:val="false"/>
          <w:bCs w:val="false"/>
          <w:color w:val="1E293B"/>
          <w:sz w:val="22"/>
          <w:szCs w:val="22"/>
        </w:rPr>
        <w:t xml:space="preserve">Confidentialité absolue des informations relatives au handicap</w:t>
      </w:r>
    </w:p>
    <w:p>
      <w:pPr>
        <w:pStyle w:val="ListParagraph"/>
        <w:numPr>
          <w:ilvl w:val="0"/>
          <w:numId w:val="2"/>
        </w:numPr>
        <w:spacing w:after="25" w:before="25"/>
      </w:pPr>
      <w:r>
        <w:rPr>
          <w:rFonts w:ascii="Georgia" w:cs="Georgia" w:eastAsia="Georgia" w:hAnsi="Georgia"/>
          <w:b w:val="false"/>
          <w:bCs w:val="false"/>
          <w:color w:val="1E293B"/>
          <w:sz w:val="22"/>
          <w:szCs w:val="22"/>
        </w:rPr>
        <w:t xml:space="preserve">Recherche systématique de solutions d'adaptation avant tout refus</w:t>
      </w:r>
    </w:p>
    <w:p>
      <w:pPr>
        <w:pStyle w:val="ListParagraph"/>
        <w:numPr>
          <w:ilvl w:val="0"/>
          <w:numId w:val="2"/>
        </w:numPr>
        <w:spacing w:after="25" w:before="25"/>
      </w:pPr>
      <w:r>
        <w:rPr>
          <w:rFonts w:ascii="Georgia" w:cs="Georgia" w:eastAsia="Georgia" w:hAnsi="Georgia"/>
          <w:b w:val="false"/>
          <w:bCs w:val="false"/>
          <w:color w:val="1E293B"/>
          <w:sz w:val="22"/>
          <w:szCs w:val="22"/>
        </w:rPr>
        <w:t xml:space="preserve">Orientation vers des partenaires spécialisés si nos adaptations sont insuffisantes</w:t>
      </w:r>
    </w:p>
    <w:p>
      <w:pPr>
        <w:pStyle w:val="ListParagraph"/>
        <w:numPr>
          <w:ilvl w:val="0"/>
          <w:numId w:val="2"/>
        </w:numPr>
        <w:spacing w:after="25" w:before="25"/>
      </w:pPr>
      <w:r>
        <w:rPr>
          <w:rFonts w:ascii="Georgia" w:cs="Georgia" w:eastAsia="Georgia" w:hAnsi="Georgia"/>
          <w:b w:val="false"/>
          <w:bCs w:val="false"/>
          <w:color w:val="1E293B"/>
          <w:sz w:val="22"/>
          <w:szCs w:val="22"/>
        </w:rPr>
        <w:t xml:space="preserve">Publication de notre engagement PSH dans l'offre de formation (I2 — Critère 1)</w:t>
      </w:r>
    </w:p>
    <w:p>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3213"/>
        <w:gridCol w:w="3213"/>
      </w:tblGrid>
      <w:tr>
        <w:tc>
          <w:tcPr>
            <w:tcW w:type="dxa" w:w="3213"/>
            <w:tcBorders>
              <w:top w:val="single" w:color="CCCCCC" w:sz="1"/>
              <w:left w:val="single" w:color="CCCCCC" w:sz="1"/>
              <w:bottom w:val="single" w:color="CCCCCC" w:sz="1"/>
              <w:right w:val="single" w:color="CCCCCC" w:sz="1"/>
            </w:tcBorders>
            <w:shd w:fill="F5F4F0" w:val="clear"/>
            <w:tcMar>
              <w:top w:type="dxa" w:w="100"/>
              <w:left w:type="dxa" w:w="120"/>
              <w:bottom w:type="dxa" w:w="140"/>
              <w:right w:type="dxa" w:w="120"/>
            </w:tcMar>
          </w:tcPr>
          <w:p>
            <w:r>
              <w:rPr>
                <w:rFonts w:ascii="Georgia" w:cs="Georgia" w:eastAsia="Georgia" w:hAnsi="Georgia"/>
                <w:b/>
                <w:bCs/>
                <w:color w:val="232E4F"/>
                <w:sz w:val="28"/>
                <w:szCs w:val="28"/>
              </w:rPr>
              <w:t xml:space="preserve">Référente Handicap
Meryem Vitré</w:t>
            </w:r>
          </w:p>
          <w:p>
            <w:pPr>
              <w:spacing w:before="40"/>
            </w:pPr>
            <w:r>
              <w:rPr>
                <w:rFonts w:ascii="Georgia" w:cs="Georgia" w:eastAsia="Georgia" w:hAnsi="Georgia"/>
                <w:sz w:val="28"/>
                <w:szCs w:val="28"/>
              </w:rPr>
              <w:t xml:space="preserve">Date : ....../....../......</w:t>
            </w:r>
          </w:p>
          <w:p>
            <w:r>
              <w:rPr>
                <w:rFonts w:ascii="Georgia" w:cs="Georgia" w:eastAsia="Georgia" w:hAnsi="Georgia"/>
                <w:sz w:val="28"/>
                <w:szCs w:val="28"/>
              </w:rPr>
              <w:t xml:space="preserve">Signature :</w:t>
            </w:r>
          </w:p>
          <w:p>
            <w:pPr>
              <w:spacing w:before="200"/>
            </w:pPr>
            <w:r>
              <w:t xml:space="preserve"/>
            </w:r>
          </w:p>
        </w:tc>
        <w:tc>
          <w:tcPr>
            <w:tcW w:type="dxa" w:w="3213"/>
            <w:tcBorders>
              <w:top w:val="single" w:color="CCCCCC" w:sz="1"/>
              <w:left w:val="single" w:color="CCCCCC" w:sz="1"/>
              <w:bottom w:val="single" w:color="CCCCCC" w:sz="1"/>
              <w:right w:val="single" w:color="CCCCCC" w:sz="1"/>
            </w:tcBorders>
            <w:shd w:fill="F5F4F0" w:val="clear"/>
            <w:tcMar>
              <w:top w:type="dxa" w:w="100"/>
              <w:left w:type="dxa" w:w="120"/>
              <w:bottom w:type="dxa" w:w="140"/>
              <w:right w:type="dxa" w:w="120"/>
            </w:tcMar>
          </w:tcPr>
          <w:p>
            <w:r>
              <w:rPr>
                <w:rFonts w:ascii="Georgia" w:cs="Georgia" w:eastAsia="Georgia" w:hAnsi="Georgia"/>
                <w:b/>
                <w:bCs/>
                <w:color w:val="232E4F"/>
                <w:sz w:val="28"/>
                <w:szCs w:val="28"/>
              </w:rPr>
              <w:t xml:space="preserve">Date de mise à jour</w:t>
            </w:r>
          </w:p>
          <w:p>
            <w:pPr>
              <w:spacing w:before="40"/>
            </w:pPr>
            <w:r>
              <w:rPr>
                <w:rFonts w:ascii="Georgia" w:cs="Georgia" w:eastAsia="Georgia" w:hAnsi="Georgia"/>
                <w:sz w:val="28"/>
                <w:szCs w:val="28"/>
              </w:rPr>
              <w:t xml:space="preserve">Date : ....../....../......</w:t>
            </w:r>
          </w:p>
          <w:p>
            <w:r>
              <w:rPr>
                <w:rFonts w:ascii="Georgia" w:cs="Georgia" w:eastAsia="Georgia" w:hAnsi="Georgia"/>
                <w:sz w:val="28"/>
                <w:szCs w:val="28"/>
              </w:rPr>
              <w:t xml:space="preserve">Signature :</w:t>
            </w:r>
          </w:p>
          <w:p>
            <w:pPr>
              <w:spacing w:before="200"/>
            </w:pPr>
            <w:r>
              <w:t xml:space="preserve"/>
            </w:r>
          </w:p>
        </w:tc>
        <w:tc>
          <w:tcPr>
            <w:tcW w:type="dxa" w:w="3213"/>
            <w:tcBorders>
              <w:top w:val="single" w:color="CCCCCC" w:sz="1"/>
              <w:left w:val="single" w:color="CCCCCC" w:sz="1"/>
              <w:bottom w:val="single" w:color="CCCCCC" w:sz="1"/>
              <w:right w:val="single" w:color="CCCCCC" w:sz="1"/>
            </w:tcBorders>
            <w:shd w:fill="F5F4F0" w:val="clear"/>
            <w:tcMar>
              <w:top w:type="dxa" w:w="100"/>
              <w:left w:type="dxa" w:w="120"/>
              <w:bottom w:type="dxa" w:w="140"/>
              <w:right w:type="dxa" w:w="120"/>
            </w:tcMar>
          </w:tcPr>
          <w:p>
            <w:r>
              <w:rPr>
                <w:rFonts w:ascii="Georgia" w:cs="Georgia" w:eastAsia="Georgia" w:hAnsi="Georgia"/>
                <w:b/>
                <w:bCs/>
                <w:color w:val="232E4F"/>
                <w:sz w:val="28"/>
                <w:szCs w:val="28"/>
              </w:rPr>
              <w:t xml:space="preserve">Prochaine révision</w:t>
            </w:r>
          </w:p>
          <w:p>
            <w:pPr>
              <w:spacing w:before="40"/>
            </w:pPr>
            <w:r>
              <w:rPr>
                <w:rFonts w:ascii="Georgia" w:cs="Georgia" w:eastAsia="Georgia" w:hAnsi="Georgia"/>
                <w:sz w:val="28"/>
                <w:szCs w:val="28"/>
              </w:rPr>
              <w:t xml:space="preserve">Date : ....../....../......</w:t>
            </w:r>
          </w:p>
          <w:p>
            <w:r>
              <w:rPr>
                <w:rFonts w:ascii="Georgia" w:cs="Georgia" w:eastAsia="Georgia" w:hAnsi="Georgia"/>
                <w:sz w:val="28"/>
                <w:szCs w:val="28"/>
              </w:rPr>
              <w:t xml:space="preserve">Signature :</w:t>
            </w:r>
          </w:p>
          <w:p>
            <w:pPr>
              <w:spacing w:before="200"/>
            </w:pPr>
            <w:r>
              <w:t xml:space="preserve"/>
            </w:r>
          </w:p>
        </w:tc>
      </w:tr>
    </w:tbl>
    <w:sectPr>
      <w:headerReference w:type="default" r:id="rId7"/>
      <w:footerReference w:type="default" r:id="rId8"/>
      <w:pgSz w:w="11906" w:h="16838" w:orient="portrait"/>
      <w:pgMar w:top="1834" w:right="1134" w:bottom="16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A843" w:sz="6"/>
      </w:pBdr>
      <w:spacing w:before="80"/>
    </w:pPr>
    <w:r>
      <w:drawing>
        <wp:inline distT="0" distB="0" distL="0" distR="0">
          <wp:extent cx="52387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23875" cy="142875"/>
                  </a:xfrm>
                  <a:prstGeom prst="rect">
                    <a:avLst/>
                  </a:prstGeom>
                </pic:spPr>
              </pic:pic>
            </a:graphicData>
          </a:graphic>
        </wp:inline>
      </w:drawing>
    </w:r>
    <w:r>
      <w:rPr>
        <w:rFonts w:ascii="Georgia" w:cs="Georgia" w:eastAsia="Georgia" w:hAnsi="Georgia"/>
        <w:color w:val="799BA5"/>
        <w:sz w:val="28"/>
        <w:szCs w:val="28"/>
      </w:rPr>
      <w:t xml:space="preserve">  |  11 Rue G. Charbonnier — 06300 Nice  |  contact@maieuticap.fr  |  06 76 07 83 70  |  NDA 93061024406  |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4819"/>
      <w:gridCol w:w="4048"/>
    </w:tblGrid>
    <w:tr>
      <w:tc>
        <w:tcPr>
          <w:tcW w:type="dxa" w:w="771"/>
          <w:tcBorders>
            <w:top w:val="none" w:sz="0"/>
            <w:left w:val="none" w:sz="0"/>
            <w:bottom w:val="none" w:sz="0"/>
            <w:right w:val="none" w:sz="0"/>
          </w:tcBorders>
          <w:shd w:fill="D9A843" w:val="clear"/>
          <w:tcMar>
            <w:top w:type="dxa" w:w="60"/>
            <w:left w:type="dxa" w:w="40"/>
            <w:bottom w:type="dxa" w:w="60"/>
            <w:right w:type="dxa" w:w="40"/>
          </w:tcMar>
        </w:tcPr>
        <w:p>
          <w:r>
            <w:t xml:space="preserve"/>
          </w:r>
        </w:p>
      </w:tc>
      <w:tc>
        <w:tcPr>
          <w:tcW w:type="dxa" w:w="4819"/>
          <w:tcBorders>
            <w:top w:val="none" w:sz="0"/>
            <w:left w:val="none" w:sz="0"/>
            <w:bottom w:val="none" w:sz="0"/>
            <w:right w:val="none" w:sz="0"/>
          </w:tcBorders>
          <w:shd w:fill="FFFFFF" w:val="clear"/>
          <w:tcMar>
            <w:top w:type="dxa" w:w="60"/>
            <w:left w:type="dxa" w:w="120"/>
            <w:bottom w:type="dxa" w:w="60"/>
            <w:right w:type="dxa" w:w="60"/>
          </w:tcMar>
          <w:vAlign w:val="center"/>
        </w:tcPr>
        <w:p>
          <w:r>
            <w:rPr>
              <w:rFonts w:ascii="Georgia" w:cs="Georgia" w:eastAsia="Georgia" w:hAnsi="Georgia"/>
              <w:b/>
              <w:bCs/>
              <w:color w:val="232E4F"/>
              <w:sz w:val="17"/>
              <w:szCs w:val="17"/>
            </w:rPr>
            <w:t xml:space="preserve">Adaptations Handicap &amp; Accessibilité PSH</w:t>
          </w:r>
        </w:p>
        <w:p>
          <w:r>
            <w:rPr>
              <w:rFonts w:ascii="Georgia" w:cs="Georgia" w:eastAsia="Georgia" w:hAnsi="Georgia"/>
              <w:color w:val="799BA5"/>
              <w:sz w:val="22"/>
              <w:szCs w:val="22"/>
            </w:rPr>
            <w:t xml:space="preserve">V2026 · Qualiopi ✓ · NDA 93061024406</w:t>
          </w:r>
        </w:p>
      </w:tc>
      <w:tc>
        <w:tcPr>
          <w:tcW w:type="dxa" w:w="4048"/>
          <w:tcBorders>
            <w:top w:val="none" w:sz="0"/>
            <w:left w:val="none" w:sz="0"/>
            <w:bottom w:val="none" w:sz="0"/>
            <w:right w:val="none" w:sz="0"/>
          </w:tcBorders>
          <w:shd w:fill="FFFFFF" w:val="clear"/>
          <w:tcMar>
            <w:top w:type="dxa" w:w="60"/>
            <w:left w:type="dxa" w:w="60"/>
            <w:bottom w:type="dxa" w:w="60"/>
            <w:right w:type="dxa" w:w="80"/>
          </w:tcMar>
          <w:vAlign w:val="center"/>
        </w:tcPr>
        <w:p>
          <w:pPr>
            <w:jc w:val="right"/>
          </w:pPr>
          <w:r>
            <w:drawing>
              <wp:inline distT="0" distB="0" distL="0" distR="0">
                <wp:extent cx="142875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400050"/>
                        </a:xfrm>
                        <a:prstGeom prst="rect">
                          <a:avLst/>
                        </a:prstGeom>
                      </pic:spPr>
                    </pic:pic>
                  </a:graphicData>
                </a:graphic>
              </wp:inline>
            </w:drawing>
          </w:r>
        </w:p>
      </w:tc>
    </w:tr>
  </w:tbl>
  <w:p>
    <w:pPr>
      <w:pBdr>
        <w:bottom w:val="single" w:color="232E4F" w:sz="6"/>
      </w:pBdr>
      <w:spacing w:after="120" w:before="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80" w:hanging="280"/>
      </w:pPr>
    </w:lvl>
  </w:abstractNum>
  <w:abstractNum w:abstractNumId="3" w15:restartNumberingAfterBreak="0">
    <w:multiLevelType w:val="hybridMultilevel"/>
    <w:lvl w:ilvl="0" w15:tentative="1">
      <w:start w:val="1"/>
      <w:numFmt w:val="bullet"/>
      <w:lvlText w:val="☐"/>
      <w:lvlJc w:val="left"/>
      <w:pPr>
        <w:ind w:left="5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db957b525650ac78123dcde7b1b2ef4b06255716.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b957b525650ac78123dcde7b1b2ef4b0625571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2026-05-21T11:09:30.820Z</dcterms:created>
  <dcterms:modified xsi:type="dcterms:W3CDTF">2026-05-21T11:09:30.820Z</dcterms:modified>
</cp:coreProperties>
</file>

<file path=docProps/custom.xml><?xml version="1.0" encoding="utf-8"?>
<Properties xmlns="http://schemas.openxmlformats.org/officeDocument/2006/custom-properties" xmlns:vt="http://schemas.openxmlformats.org/officeDocument/2006/docPropsVTypes"/>
</file>