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PROC-QUAL-01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V2026 — Mise à jour Mars 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Meryem Vitré — Référente qualité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Indicateurs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I29, I30, I31, I32 — Critère 7</w:t>
            </w:r>
          </w:p>
        </w:tc>
      </w:tr>
    </w:tbl>
    <w:p>
      <w:r>
        <w:t xml:space="preserve"/>
      </w:r>
    </w:p>
    <w:p>
      <w:pPr>
        <w:pBdr>
          <w:left w:val="single" w:color="D9A843" w:sz="16"/>
        </w:pBdr>
        <w:shd w:fill="F5F4F0" w:val="clear"/>
        <w:spacing w:after="100" w:before="100"/>
      </w:pPr>
      <w:r>
        <w:rPr>
          <w:rFonts w:ascii="Arial" w:cs="Arial" w:eastAsia="Arial" w:hAnsi="Arial"/>
          <w:color w:val="232E4F"/>
          <w:sz w:val="19"/>
          <w:szCs w:val="19"/>
        </w:rPr>
        <w:t xml:space="preserve">  Cette procédure structure la collecte, l'analyse et la prise en compte des appréciations, réclamations et aléas. Elle s'applique à toutes les actions de formation et bilans de compétences dispensés par MaïeutiCap.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Arial" w:cs="Arial" w:eastAsia="Arial" w:hAnsi="Arial"/>
          <w:b/>
          <w:bCs/>
          <w:color w:val="232E4F"/>
          <w:sz w:val="28"/>
          <w:szCs w:val="28"/>
        </w:rPr>
        <w:t xml:space="preserve">1. Objectif et champ d'application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Garantir la traçabilité et le traitement efficace de toutes les appréciations, réclamations et aléas relatifs aux prestations de MaïeutiCap. Cette procédure concerne les bénéficiaires, financeurs, commanditaires et équipes pédagogiques.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Arial" w:cs="Arial" w:eastAsia="Arial" w:hAnsi="Arial"/>
          <w:b/>
          <w:bCs/>
          <w:color w:val="232E4F"/>
          <w:sz w:val="28"/>
          <w:szCs w:val="28"/>
        </w:rPr>
        <w:t xml:space="preserve">2. Collecte des appréciations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2.1 Questionnaires de satisfaction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Bénéficiaires : questionnaire à chaud (fin de prestation) + à froid (M+6)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Commanditaires : questionnaire en fin de chaque prestation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Financeurs : questionnaire annuel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Formateurs : grille d'auto-évaluation après chaque intervention</w:t>
      </w:r>
    </w:p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2.2 Réclamations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Recueillies par mail, téléphone ou formulaire dédié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Accusé de réception sous 24h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Enregistrement dans le tableau de suivi V2026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Arial" w:cs="Arial" w:eastAsia="Arial" w:hAnsi="Arial"/>
          <w:b/>
          <w:bCs/>
          <w:color w:val="232E4F"/>
          <w:sz w:val="28"/>
          <w:szCs w:val="28"/>
        </w:rPr>
        <w:t xml:space="preserve">3. Traitement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Mineure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Résolution rapide &lt; 5 jours — Action corrective légère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Majeure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 d'action correctif — Suivi jusqu'à clôture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Critique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Traitement prioritaire immédiat — Information du financeur si nécessaire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Arial" w:cs="Arial" w:eastAsia="Arial" w:hAnsi="Arial"/>
          <w:b/>
          <w:bCs/>
          <w:color w:val="232E4F"/>
          <w:sz w:val="28"/>
          <w:szCs w:val="28"/>
        </w:rPr>
        <w:t xml:space="preserve">4. Revue qualité trimestrielle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Analyse des questionnaires de satisfaction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Examen des réclamations et incidents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Mise à jour du tableau d'amélioration continue (TAB-AMEL-01)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Programmée via Google Calendar — Compte-rendu obligatoire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Référente qualité
Meryem Vitré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: ....../....../......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Date de validation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: ....../....../......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Prochaine révision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: ....../....../......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100"/>
    </w:pPr>
    <w:r>
      <w:drawing>
        <wp:inline distT="0" distB="0" distL="0" distR="0">
          <wp:extent cx="381000" cy="2000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99BA5"/>
        <w:sz w:val="13"/>
        <w:szCs w:val="13"/>
      </w:rPr>
      <w:t xml:space="preserve">  MaïeutiCap  |  11 Rue G. Charbonnier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32E4F" w:val="clear"/>
      <w:spacing w:after="0" w:before="0"/>
    </w:pPr>
    <w:r>
      <w:drawing>
        <wp:inline distT="0" distB="0" distL="0" distR="0">
          <wp:extent cx="952500" cy="4953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hd w:fill="D9A843" w:val="clear"/>
      <w:spacing w:after="80" w:before="0"/>
      <w:jc w:val="center"/>
    </w:pPr>
    <w:r>
      <w:rPr>
        <w:rFonts w:ascii="Arial" w:cs="Arial" w:eastAsia="Arial" w:hAnsi="Arial"/>
        <w:b/>
        <w:bCs/>
        <w:color w:val="232E4F"/>
        <w:sz w:val="17"/>
        <w:szCs w:val="17"/>
      </w:rPr>
      <w:t xml:space="preserve">PROCÉDURE RÉCLAMATIONS SATISFACTION ALÉAS</w:t>
    </w:r>
    <w:r>
      <w:rPr>
        <w:rFonts w:ascii="Arial" w:cs="Arial" w:eastAsia="Arial" w:hAnsi="Arial"/>
        <w:color w:val="232E4F"/>
        <w:sz w:val="13"/>
        <w:szCs w:val="13"/>
      </w:rPr>
      <w:t xml:space="preserve">  |  V2026 · Qualiopi</w:t>
    </w:r>
  </w:p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84921b268cc9de56fe4f3218e928ae3dbc37e0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878089823c88f410109efd084200ac98dd301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2026-05-20T20:14:42.507Z</dcterms:created>
  <dcterms:modified xsi:type="dcterms:W3CDTF">2026-05-20T20:14:42.517Z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