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36"/>
          <w:szCs w:val="36"/>
        </w:rPr>
        <w:t xml:space="preserve">DOSSIER DI SELEZIONE FORNITORE</w:t>
      </w:r>
    </w:p>
    <w:p>
      <w:pPr>
        <w:spacing w:after="240"/>
        <w:jc w:val="center"/>
      </w:pPr>
      <w:r>
        <w:rPr>
          <w:rFonts w:ascii="Arial" w:cs="Arial" w:eastAsia="Arial" w:hAnsi="Arial"/>
          <w:i/>
          <w:iCs/>
          <w:sz w:val="26"/>
          <w:szCs w:val="26"/>
        </w:rPr>
        <w:t xml:space="preserve">Gara: “Fornitura servizi IT cloud 2026 — Q1”</w:t>
      </w:r>
    </w:p>
    <w:p>
      <w:pPr>
        <w:spacing w:after="600"/>
        <w:jc w:val="center"/>
      </w:pPr>
      <w:r>
        <w:rPr>
          <w:rFonts w:ascii="Arial" w:cs="Arial" w:eastAsia="Arial" w:hAnsi="Arial"/>
          <w:color w:val="595959"/>
          <w:sz w:val="20"/>
          <w:szCs w:val="20"/>
        </w:rPr>
        <w:t xml:space="preserve">Documento interno — Procurement Department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Oggetto della gara</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Fornitura servizi IT cloud 2026 — Q1 (infrastruttura e servizi gestiti)</w:t>
            </w:r>
          </w:p>
        </w:tc>
      </w:tr>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Valore stimato</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180.000,00 € (IVA esclusa)</w:t>
            </w:r>
          </w:p>
        </w:tc>
      </w:tr>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Ente richiedente</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IT Department — referente: Ing. Paolo De Luca (IT Director)</w:t>
            </w:r>
          </w:p>
        </w:tc>
      </w:tr>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Gestito da</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Procurement Department — referente: Dott.ssa Giulia Bianchi (Procurement Manager)</w:t>
            </w:r>
          </w:p>
        </w:tc>
      </w:tr>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Protocollo interno</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PROC/2026/Q1/004</w:t>
            </w:r>
          </w:p>
        </w:tc>
      </w:tr>
      <w:tr>
        <w:tc>
          <w:tcPr>
            <w:tcW w:type="dxa" w:w="300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Data apertura fascicolo</w:t>
            </w:r>
          </w:p>
        </w:tc>
        <w:tc>
          <w:tcPr>
            <w:tcW w:type="dxa" w:w="564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07/01/2026</w:t>
            </w:r>
          </w:p>
        </w:tc>
      </w:tr>
    </w:tbl>
    <w:p>
      <w:r>
        <w:br w:type="page"/>
      </w:r>
    </w:p>
    <w:p>
      <w:pPr>
        <w:pStyle w:val="Heading1"/>
      </w:pPr>
      <w:r>
        <w:rPr>
          <w:rFonts w:ascii="Arial" w:cs="Arial" w:eastAsia="Arial" w:hAnsi="Arial"/>
          <w:b/>
          <w:bCs/>
        </w:rPr>
        <w:t xml:space="preserve">1. Request for Quotation (RFQ)</w:t>
      </w:r>
    </w:p>
    <w:p>
      <w:r>
        <w:rPr>
          <w:rFonts w:ascii="Arial" w:cs="Arial" w:eastAsia="Arial" w:hAnsi="Arial"/>
        </w:rPr>
        <w:t xml:space="preserve">In data 08/01/2026 il Procurement Department, su richiesta del IT Department, ha predisposto la Request for Quotation (RFQ) per la fornitura di servizi IT cloud relativa al Q1 2026. La short list è stata selezionata dalla vendor list qualificata e approvata dal Procurement Manager. Di seguito i fornitori invitati:</w:t>
      </w:r>
    </w:p>
    <w:p>
      <w:pPr>
        <w:pStyle w:val="ListParagraph"/>
        <w:numPr>
          <w:ilvl w:val="0"/>
          <w:numId w:val="2"/>
        </w:numPr>
      </w:pPr>
      <w:r>
        <w:rPr>
          <w:rFonts w:ascii="Arial" w:cs="Arial" w:eastAsia="Arial" w:hAnsi="Arial"/>
        </w:rPr>
        <w:t xml:space="preserve">CloudWave Italia S.r.l. — RFQ inviata il 08/01/2026 (rif. RFQ-2026-014/A)</w:t>
      </w:r>
    </w:p>
    <w:p>
      <w:pPr>
        <w:pStyle w:val="ListParagraph"/>
        <w:numPr>
          <w:ilvl w:val="0"/>
          <w:numId w:val="2"/>
        </w:numPr>
      </w:pPr>
      <w:r>
        <w:rPr>
          <w:rFonts w:ascii="Arial" w:cs="Arial" w:eastAsia="Arial" w:hAnsi="Arial"/>
        </w:rPr>
        <w:t xml:space="preserve">NovaCloud Solutions S.p.A. — RFQ inviata il 08/01/2026 (rif. RFQ-2026-014/B)</w:t>
      </w:r>
    </w:p>
    <w:p>
      <w:pPr>
        <w:pStyle w:val="ListParagraph"/>
        <w:numPr>
          <w:ilvl w:val="0"/>
          <w:numId w:val="2"/>
        </w:numPr>
      </w:pPr>
      <w:r>
        <w:rPr>
          <w:rFonts w:ascii="Arial" w:cs="Arial" w:eastAsia="Arial" w:hAnsi="Arial"/>
        </w:rPr>
        <w:t xml:space="preserve">Aurora IT Services — RFQ inviata il 09/01/2026 (rif. RFQ-2026-014/C)</w:t>
      </w:r>
    </w:p>
    <w:p>
      <w:pPr>
        <w:spacing w:before="120"/>
      </w:pPr>
      <w:r>
        <w:rPr>
          <w:rFonts w:ascii="Arial" w:cs="Arial" w:eastAsia="Arial" w:hAnsi="Arial"/>
        </w:rPr>
        <w:t xml:space="preserve">La scadenza per la ricezione delle offerte è stata fissata al 16/01/2026.</w:t>
      </w:r>
    </w:p>
    <w:p>
      <w:pPr>
        <w:pStyle w:val="Heading1"/>
      </w:pPr>
      <w:r>
        <w:rPr>
          <w:rFonts w:ascii="Arial" w:cs="Arial" w:eastAsia="Arial" w:hAnsi="Arial"/>
          <w:b/>
          <w:bCs/>
        </w:rPr>
        <w:t xml:space="preserve">2. Quotation ricevute</w:t>
      </w:r>
    </w:p>
    <w:p>
      <w:r>
        <w:rPr>
          <w:rFonts w:ascii="Arial" w:cs="Arial" w:eastAsia="Arial" w:hAnsi="Arial"/>
        </w:rPr>
        <w:t xml:space="preserve">Tutte e tre le quotation sono pervenute entro la scadenza indicata nella RFQ. Il quadro sinottico delle offerte ricevute è il seguente: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30"/>
        <w:gridCol w:w="2430"/>
      </w:tblGrid>
      <w:tr>
        <w:trPr>
          <w:tblHeader/>
        </w:trPr>
        <w:tc>
          <w:tcPr>
            <w:tcW w:type="dxa" w:w="2100"/>
            <w:tcBorders>
              <w:top w:val="single" w:color="B4B4B4" w:sz="1"/>
              <w:left w:val="single" w:color="B4B4B4" w:sz="1"/>
              <w:bottom w:val="single" w:color="B4B4B4" w:sz="1"/>
              <w:right w:val="single" w:color="B4B4B4" w:sz="1"/>
            </w:tcBorders>
            <w:shd w:fill="305496" w:val="clear"/>
            <w:tcMar>
              <w:top w:type="dxa" w:w="80"/>
              <w:left w:type="dxa" w:w="120"/>
              <w:bottom w:type="dxa" w:w="80"/>
              <w:right w:type="dxa" w:w="120"/>
            </w:tcMar>
          </w:tcPr>
          <w:p>
            <w:r>
              <w:rPr>
                <w:rFonts w:ascii="Arial" w:cs="Arial" w:eastAsia="Arial" w:hAnsi="Arial"/>
                <w:b/>
                <w:bCs/>
              </w:rPr>
              <w:t xml:space="preserve">Fornitore</w:t>
            </w:r>
          </w:p>
        </w:tc>
        <w:tc>
          <w:tcPr>
            <w:tcW w:type="dxa" w:w="2400"/>
            <w:tcBorders>
              <w:top w:val="single" w:color="B4B4B4" w:sz="1"/>
              <w:left w:val="single" w:color="B4B4B4" w:sz="1"/>
              <w:bottom w:val="single" w:color="B4B4B4" w:sz="1"/>
              <w:right w:val="single" w:color="B4B4B4" w:sz="1"/>
            </w:tcBorders>
            <w:shd w:fill="305496" w:val="clear"/>
            <w:tcMar>
              <w:top w:type="dxa" w:w="80"/>
              <w:left w:type="dxa" w:w="120"/>
              <w:bottom w:type="dxa" w:w="80"/>
              <w:right w:type="dxa" w:w="120"/>
            </w:tcMar>
          </w:tcPr>
          <w:p>
            <w:r>
              <w:rPr>
                <w:rFonts w:ascii="Arial" w:cs="Arial" w:eastAsia="Arial" w:hAnsi="Arial"/>
                <w:b/>
                <w:bCs/>
              </w:rPr>
              <w:t xml:space="preserve">Data quotation</w:t>
            </w:r>
          </w:p>
        </w:tc>
        <w:tc>
          <w:tcPr>
            <w:tcW w:type="dxa" w:w="2430"/>
            <w:tcBorders>
              <w:top w:val="single" w:color="B4B4B4" w:sz="1"/>
              <w:left w:val="single" w:color="B4B4B4" w:sz="1"/>
              <w:bottom w:val="single" w:color="B4B4B4" w:sz="1"/>
              <w:right w:val="single" w:color="B4B4B4" w:sz="1"/>
            </w:tcBorders>
            <w:shd w:fill="305496" w:val="clear"/>
            <w:tcMar>
              <w:top w:type="dxa" w:w="80"/>
              <w:left w:type="dxa" w:w="120"/>
              <w:bottom w:type="dxa" w:w="80"/>
              <w:right w:type="dxa" w:w="120"/>
            </w:tcMar>
          </w:tcPr>
          <w:p>
            <w:r>
              <w:rPr>
                <w:rFonts w:ascii="Arial" w:cs="Arial" w:eastAsia="Arial" w:hAnsi="Arial"/>
                <w:b/>
                <w:bCs/>
              </w:rPr>
              <w:t xml:space="preserve">Importo offerta</w:t>
            </w:r>
          </w:p>
        </w:tc>
        <w:tc>
          <w:tcPr>
            <w:tcW w:type="dxa" w:w="2430"/>
            <w:tcBorders>
              <w:top w:val="single" w:color="B4B4B4" w:sz="1"/>
              <w:left w:val="single" w:color="B4B4B4" w:sz="1"/>
              <w:bottom w:val="single" w:color="B4B4B4" w:sz="1"/>
              <w:right w:val="single" w:color="B4B4B4" w:sz="1"/>
            </w:tcBorders>
            <w:shd w:fill="305496" w:val="clear"/>
            <w:tcMar>
              <w:top w:type="dxa" w:w="80"/>
              <w:left w:type="dxa" w:w="120"/>
              <w:bottom w:type="dxa" w:w="80"/>
              <w:right w:type="dxa" w:w="120"/>
            </w:tcMar>
          </w:tcPr>
          <w:p>
            <w:r>
              <w:rPr>
                <w:rFonts w:ascii="Arial" w:cs="Arial" w:eastAsia="Arial" w:hAnsi="Arial"/>
                <w:b/>
                <w:bCs/>
              </w:rPr>
              <w:t xml:space="preserve">SLA / Note</w:t>
            </w:r>
          </w:p>
        </w:tc>
      </w:tr>
      <w:tr>
        <w:tc>
          <w:tcPr>
            <w:tcW w:type="dxa" w:w="21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Vendor A — CloudWave Italia S.r.l.</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12/01/2026</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175.000,00 €</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SLA 99,5% — supporto 8x5</w:t>
            </w:r>
          </w:p>
        </w:tc>
      </w:tr>
      <w:tr>
        <w:tc>
          <w:tcPr>
            <w:tcW w:type="dxa" w:w="21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Vendor B — NovaCloud Solutions S.p.A.</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14/01/2026</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168.000,00 €</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SLA 99,9% — supporto 24x7</w:t>
            </w:r>
          </w:p>
        </w:tc>
      </w:tr>
      <w:tr>
        <w:tc>
          <w:tcPr>
            <w:tcW w:type="dxa" w:w="21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Vendor C — Aurora IT Services</w:t>
            </w:r>
          </w:p>
        </w:tc>
        <w:tc>
          <w:tcPr>
            <w:tcW w:type="dxa" w:w="240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15/01/2026</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182.000,00 €</w:t>
            </w:r>
          </w:p>
        </w:tc>
        <w:tc>
          <w:tcPr>
            <w:tcW w:type="dxa" w:w="243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SLA 99,7% — supporto 12x7</w:t>
            </w:r>
          </w:p>
        </w:tc>
      </w:tr>
    </w:tbl>
    <w:p>
      <w:pPr>
        <w:spacing w:before="120"/>
      </w:pPr>
      <w:r>
        <w:rPr>
          <w:rFonts w:ascii="Arial" w:cs="Arial" w:eastAsia="Arial" w:hAnsi="Arial"/>
        </w:rPr>
        <w:t xml:space="preserve">Le offerte sono state aperte alla presenza del Procurement Manager e dell’IT Director in data 19/01/2026. I valori includono la componente una tantum e i canoni ricorrenti per il trimestre.</w:t>
      </w:r>
    </w:p>
    <w:p>
      <w:pPr>
        <w:pStyle w:val="Heading1"/>
      </w:pPr>
      <w:r>
        <w:rPr>
          <w:rFonts w:ascii="Arial" w:cs="Arial" w:eastAsia="Arial" w:hAnsi="Arial"/>
          <w:b/>
          <w:bCs/>
        </w:rPr>
        <w:t xml:space="preserve">3. Negoziazione</w:t>
      </w:r>
    </w:p>
    <w:p>
      <w:r>
        <w:rPr>
          <w:rFonts w:ascii="Arial" w:cs="Arial" w:eastAsia="Arial" w:hAnsi="Arial"/>
        </w:rPr>
        <w:t xml:space="preserve">Sulla base del punteggio tecnico-economico preliminare, il Procurement Department ha avviato una fase di negoziazione con il fornitore in posizione migliore (NovaCloud Solutions S.p.A.) al fine di conseguire un miglioramento delle condizioni economiche senza deteriorare lo SLA offerto.</w:t>
      </w:r>
    </w:p>
    <w:p>
      <w:r>
        <w:rPr>
          <w:rFonts w:ascii="Arial" w:cs="Arial" w:eastAsia="Arial" w:hAnsi="Arial"/>
          <w:b/>
          <w:bCs/>
        </w:rPr>
        <w:t xml:space="preserve">Dettaglio negoziazione — NovaCloud Solutions S.p.A.</w:t>
      </w:r>
    </w:p>
    <w:p>
      <w:pPr>
        <w:pStyle w:val="ListParagraph"/>
        <w:numPr>
          <w:ilvl w:val="0"/>
          <w:numId w:val="3"/>
        </w:numPr>
      </w:pPr>
      <w:r>
        <w:rPr>
          <w:rFonts w:ascii="Arial" w:cs="Arial" w:eastAsia="Arial" w:hAnsi="Arial"/>
        </w:rPr>
        <w:t xml:space="preserve">Quotation iniziale: 168.000,00 € (rif. offerta NCS/Q1-026 del 14/01/2026).</w:t>
      </w:r>
    </w:p>
    <w:p>
      <w:pPr>
        <w:pStyle w:val="ListParagraph"/>
        <w:numPr>
          <w:ilvl w:val="0"/>
          <w:numId w:val="3"/>
        </w:numPr>
      </w:pPr>
      <w:r>
        <w:rPr>
          <w:rFonts w:ascii="Arial" w:cs="Arial" w:eastAsia="Arial" w:hAnsi="Arial"/>
        </w:rPr>
        <w:t xml:space="preserve">Call di negoziazione del 21/01/2026 — partecipanti: Giulia Bianchi (Procurement), Paolo De Luca (IT Director), A. Verdi (Account NovaCloud).</w:t>
      </w:r>
    </w:p>
    <w:p>
      <w:pPr>
        <w:pStyle w:val="ListParagraph"/>
        <w:numPr>
          <w:ilvl w:val="0"/>
          <w:numId w:val="3"/>
        </w:numPr>
      </w:pPr>
      <w:r>
        <w:rPr>
          <w:rFonts w:ascii="Arial" w:cs="Arial" w:eastAsia="Arial" w:hAnsi="Arial"/>
        </w:rPr>
        <w:t xml:space="preserve">Oggetto della trattativa: sconto volume, estensione del supporto 24x7 a tutti gli ambienti, clausola di escalation SLA.</w:t>
      </w:r>
    </w:p>
    <w:p>
      <w:pPr>
        <w:pStyle w:val="ListParagraph"/>
        <w:numPr>
          <w:ilvl w:val="0"/>
          <w:numId w:val="3"/>
        </w:numPr>
      </w:pPr>
      <w:r>
        <w:rPr>
          <w:rFonts w:ascii="Arial" w:cs="Arial" w:eastAsia="Arial" w:hAnsi="Arial"/>
        </w:rPr>
        <w:t xml:space="preserve">Offerta rivista del 23/01/2026: 162.500,00 € (sconto ottenuto 3,3%, SLA confermato al 99,9%).</w:t>
      </w:r>
    </w:p>
    <w:p>
      <w:pPr>
        <w:pStyle w:val="ListParagraph"/>
        <w:numPr>
          <w:ilvl w:val="0"/>
          <w:numId w:val="3"/>
        </w:numPr>
      </w:pPr>
      <w:r>
        <w:rPr>
          <w:rFonts w:ascii="Arial" w:cs="Arial" w:eastAsia="Arial" w:hAnsi="Arial"/>
        </w:rPr>
        <w:t xml:space="preserve">Risparmio complessivo rispetto alla prima offerta: 5.500,00 €.</w:t>
      </w:r>
    </w:p>
    <w:p>
      <w:pPr>
        <w:pStyle w:val="Heading1"/>
      </w:pPr>
      <w:r>
        <w:rPr>
          <w:rFonts w:ascii="Arial" w:cs="Arial" w:eastAsia="Arial" w:hAnsi="Arial"/>
          <w:b/>
          <w:bCs/>
        </w:rPr>
        <w:t xml:space="preserve">4. Verbale di aggiudicazione (Award Minutes)</w:t>
      </w:r>
    </w:p>
    <w:p>
      <w:r>
        <w:rPr>
          <w:rFonts w:ascii="Arial" w:cs="Arial" w:eastAsia="Arial" w:hAnsi="Arial"/>
        </w:rPr>
        <w:t xml:space="preserve">In data 27/01/2026, presso la sede aziendale, si è tenuta la riunione di aggiudicazione della gara “Fornitura servizi IT cloud 2026 — Q1”.</w:t>
      </w:r>
    </w:p>
    <w:p>
      <w:r>
        <w:rPr>
          <w:rFonts w:ascii="Arial" w:cs="Arial" w:eastAsia="Arial" w:hAnsi="Arial"/>
          <w:b/>
          <w:bCs/>
        </w:rPr>
        <w:t xml:space="preserve">Criteri di scelta applicati</w:t>
      </w:r>
    </w:p>
    <w:p>
      <w:pPr>
        <w:pStyle w:val="ListParagraph"/>
        <w:numPr>
          <w:ilvl w:val="0"/>
          <w:numId w:val="3"/>
        </w:numPr>
      </w:pPr>
      <w:r>
        <w:rPr>
          <w:rFonts w:ascii="Arial" w:cs="Arial" w:eastAsia="Arial" w:hAnsi="Arial"/>
        </w:rPr>
        <w:t xml:space="preserve">Prezzo complessivo (peso 50%).</w:t>
      </w:r>
    </w:p>
    <w:p>
      <w:pPr>
        <w:pStyle w:val="ListParagraph"/>
        <w:numPr>
          <w:ilvl w:val="0"/>
          <w:numId w:val="3"/>
        </w:numPr>
      </w:pPr>
      <w:r>
        <w:rPr>
          <w:rFonts w:ascii="Arial" w:cs="Arial" w:eastAsia="Arial" w:hAnsi="Arial"/>
        </w:rPr>
        <w:t xml:space="preserve">Qualità del servizio e SLA (peso 30%).</w:t>
      </w:r>
    </w:p>
    <w:p>
      <w:pPr>
        <w:pStyle w:val="ListParagraph"/>
        <w:numPr>
          <w:ilvl w:val="0"/>
          <w:numId w:val="3"/>
        </w:numPr>
      </w:pPr>
      <w:r>
        <w:rPr>
          <w:rFonts w:ascii="Arial" w:cs="Arial" w:eastAsia="Arial" w:hAnsi="Arial"/>
        </w:rPr>
        <w:t xml:space="preserve">Referenze e solidità del fornitore (peso 20%).</w:t>
      </w:r>
    </w:p>
    <w:p>
      <w:r>
        <w:rPr>
          <w:rFonts w:ascii="Arial" w:cs="Arial" w:eastAsia="Arial" w:hAnsi="Arial"/>
          <w:b/>
          <w:bCs/>
        </w:rPr>
        <w:t xml:space="preserve">Esito</w:t>
      </w:r>
    </w:p>
    <w:p>
      <w:r>
        <w:rPr>
          <w:rFonts w:ascii="Arial" w:cs="Arial" w:eastAsia="Arial" w:hAnsi="Arial"/>
        </w:rPr>
        <w:t xml:space="preserve">La commissione aggiudica la gara a NovaCloud Solutions S.p.A. per un importo finale pari a 162.500,00 € (IVA esclusa). L’importo supera la soglia di 150.000 € e richiede dunque la controfirma del CFO, come previsto dalla Delegation of Authority aziendale.</w:t>
      </w:r>
    </w:p>
    <w:p>
      <w:r>
        <w:rPr>
          <w:rFonts w:ascii="Arial" w:cs="Arial" w:eastAsia="Arial" w:hAnsi="Arial"/>
          <w:b/>
          <w:bCs/>
        </w:rPr>
        <w:t xml:space="preserve">Firme del verbale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Procurement Manager</w:t>
            </w:r>
          </w:p>
        </w:tc>
        <w:tc>
          <w:tcPr>
            <w:tcW w:type="dxa" w:w="288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IT Director</w:t>
            </w:r>
          </w:p>
        </w:tc>
        <w:tc>
          <w:tcPr>
            <w:tcW w:type="dxa" w:w="2880"/>
            <w:tcBorders>
              <w:top w:val="single" w:color="B4B4B4" w:sz="1"/>
              <w:left w:val="single" w:color="B4B4B4" w:sz="1"/>
              <w:bottom w:val="single" w:color="B4B4B4" w:sz="1"/>
              <w:right w:val="single" w:color="B4B4B4" w:sz="1"/>
            </w:tcBorders>
            <w:shd w:fill="DDEBF7" w:val="clear"/>
            <w:tcMar>
              <w:top w:type="dxa" w:w="80"/>
              <w:left w:type="dxa" w:w="120"/>
              <w:bottom w:type="dxa" w:w="80"/>
              <w:right w:type="dxa" w:w="120"/>
            </w:tcMar>
          </w:tcPr>
          <w:p>
            <w:r>
              <w:rPr>
                <w:rFonts w:ascii="Arial" w:cs="Arial" w:eastAsia="Arial" w:hAnsi="Arial"/>
                <w:b/>
                <w:bCs/>
              </w:rPr>
              <w:t xml:space="preserve">CFO</w:t>
            </w:r>
          </w:p>
        </w:tc>
      </w:tr>
      <w:tr>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Dott.ssa Giulia Bianchi</w:t>
            </w:r>
          </w:p>
        </w:tc>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Ing. Paolo De Luca</w:t>
            </w:r>
          </w:p>
        </w:tc>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Dott. Giovanni Rizzo</w:t>
            </w:r>
          </w:p>
        </w:tc>
      </w:tr>
      <w:tr>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firmato 27/01/2026</w:t>
            </w:r>
          </w:p>
        </w:tc>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firmato 27/01/2026</w:t>
            </w:r>
          </w:p>
        </w:tc>
        <w:tc>
          <w:tcPr>
            <w:tcW w:type="dxa" w:w="2880"/>
            <w:tcBorders>
              <w:top w:val="single" w:color="B4B4B4" w:sz="1"/>
              <w:left w:val="single" w:color="B4B4B4" w:sz="1"/>
              <w:bottom w:val="single" w:color="B4B4B4" w:sz="1"/>
              <w:right w:val="single" w:color="B4B4B4" w:sz="1"/>
            </w:tcBorders>
            <w:tcMar>
              <w:top w:type="dxa" w:w="80"/>
              <w:left w:type="dxa" w:w="120"/>
              <w:bottom w:type="dxa" w:w="80"/>
              <w:right w:type="dxa" w:w="120"/>
            </w:tcMar>
          </w:tcPr>
          <w:p>
            <w:r>
              <w:rPr>
                <w:rFonts w:ascii="Arial" w:cs="Arial" w:eastAsia="Arial" w:hAnsi="Arial"/>
                <w:b w:val="false"/>
                <w:bCs w:val="false"/>
              </w:rPr>
              <w:t xml:space="preserve">firmato 27/01/2026</w:t>
            </w:r>
          </w:p>
        </w:tc>
      </w:tr>
    </w:tbl>
    <w:p>
      <w:pPr>
        <w:pStyle w:val="Heading1"/>
      </w:pPr>
      <w:r>
        <w:rPr>
          <w:rFonts w:ascii="Arial" w:cs="Arial" w:eastAsia="Arial" w:hAnsi="Arial"/>
          <w:b/>
          <w:bCs/>
        </w:rPr>
        <w:t xml:space="preserve">5. Purchase Order / Contratto</w:t>
      </w:r>
    </w:p>
    <w:p>
      <w:r>
        <w:rPr>
          <w:rFonts w:ascii="Arial" w:cs="Arial" w:eastAsia="Arial" w:hAnsi="Arial"/>
        </w:rPr>
        <w:t xml:space="preserve">A seguito dell’aggiudicazione, il Procurement Department ha emesso il Purchase Order di riferimento a NovaCloud Solutions S.p.A. con le seguenti coordinate:</w:t>
      </w:r>
    </w:p>
    <w:p>
      <w:pPr>
        <w:pStyle w:val="ListParagraph"/>
        <w:numPr>
          <w:ilvl w:val="0"/>
          <w:numId w:val="3"/>
        </w:numPr>
      </w:pPr>
      <w:r>
        <w:rPr>
          <w:rFonts w:ascii="Arial" w:cs="Arial" w:eastAsia="Arial" w:hAnsi="Arial"/>
        </w:rPr>
        <w:t xml:space="preserve">PO number: PO-2026-0412</w:t>
      </w:r>
    </w:p>
    <w:p>
      <w:pPr>
        <w:pStyle w:val="ListParagraph"/>
        <w:numPr>
          <w:ilvl w:val="0"/>
          <w:numId w:val="3"/>
        </w:numPr>
      </w:pPr>
      <w:r>
        <w:rPr>
          <w:rFonts w:ascii="Arial" w:cs="Arial" w:eastAsia="Arial" w:hAnsi="Arial"/>
        </w:rPr>
        <w:t xml:space="preserve">Data di emissione: 29/01/2026</w:t>
      </w:r>
    </w:p>
    <w:p>
      <w:pPr>
        <w:pStyle w:val="ListParagraph"/>
        <w:numPr>
          <w:ilvl w:val="0"/>
          <w:numId w:val="3"/>
        </w:numPr>
      </w:pPr>
      <w:r>
        <w:rPr>
          <w:rFonts w:ascii="Arial" w:cs="Arial" w:eastAsia="Arial" w:hAnsi="Arial"/>
        </w:rPr>
        <w:t xml:space="preserve">Importo: 162.500,00 € (IVA esclusa)</w:t>
      </w:r>
    </w:p>
    <w:p>
      <w:pPr>
        <w:pStyle w:val="ListParagraph"/>
        <w:numPr>
          <w:ilvl w:val="0"/>
          <w:numId w:val="3"/>
        </w:numPr>
      </w:pPr>
      <w:r>
        <w:rPr>
          <w:rFonts w:ascii="Arial" w:cs="Arial" w:eastAsia="Arial" w:hAnsi="Arial"/>
        </w:rPr>
        <w:t xml:space="preserve">Riferimento contrattuale: MSA NovaCloud-2026 + SOW Q1/001</w:t>
      </w:r>
    </w:p>
    <w:p>
      <w:pPr>
        <w:pStyle w:val="ListParagraph"/>
        <w:numPr>
          <w:ilvl w:val="0"/>
          <w:numId w:val="3"/>
        </w:numPr>
      </w:pPr>
      <w:r>
        <w:rPr>
          <w:rFonts w:ascii="Arial" w:cs="Arial" w:eastAsia="Arial" w:hAnsi="Arial"/>
        </w:rPr>
        <w:t xml:space="preserve">Condizioni di pagamento: 60 gg DFFM</w:t>
      </w:r>
    </w:p>
    <w:p>
      <w:pPr>
        <w:spacing w:before="120"/>
      </w:pPr>
      <w:r>
        <w:rPr>
          <w:rFonts w:ascii="Arial" w:cs="Arial" w:eastAsia="Arial" w:hAnsi="Arial"/>
        </w:rPr>
        <w:t xml:space="preserve">Il fascicolo di gara è archiviato nel repository Procurement con riferimento PROC/2026/Q1/004 ed è disponibile per audit interno/esterno.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selezione fornitore — Gara IT Cloud 2026 Q1</dc:title>
  <dc:creator>Procurement Department</dc:creator>
  <cp:lastModifiedBy>Un-named</cp:lastModifiedBy>
  <cp:revision>1</cp:revision>
  <dcterms:created xsi:type="dcterms:W3CDTF">2026-04-22T13:58:26.106Z</dcterms:created>
  <dcterms:modified xsi:type="dcterms:W3CDTF">2026-04-22T13:58:26.106Z</dcterms:modified>
</cp:coreProperties>
</file>

<file path=docProps/custom.xml><?xml version="1.0" encoding="utf-8"?>
<Properties xmlns="http://schemas.openxmlformats.org/officeDocument/2006/custom-properties" xmlns:vt="http://schemas.openxmlformats.org/officeDocument/2006/docPropsVTypes"/>
</file>