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pPr>
      <w:r>
        <w:t xml:space="preserve"/>
      </w:r>
    </w:p>
    <w:p>
      <w:pPr>
        <w:shd w:fill="1A3A5C" w:val="clear"/>
        <w:spacing w:before="0" w:after="0"/>
      </w:pPr>
      <w:r>
        <w:rPr>
          <w:rFonts w:ascii="Arial" w:cs="Arial" w:eastAsia="Arial" w:hAnsi="Arial"/>
          <w:b/>
          <w:bCs/>
          <w:color w:val="FFFFFF"/>
          <w:sz w:val="20"/>
          <w:szCs w:val="20"/>
        </w:rPr>
        <w:t xml:space="preserve">  TECHNICAL SPECIFICATION AND DESIGN RECORD  |  ORIGINAL ARCHITECTURAL FRAMEWORK</w:t>
      </w:r>
    </w:p>
    <w:p>
      <w:pPr>
        <w:spacing w:before="60" w:after="0"/>
      </w:pPr>
      <w:r>
        <w:t xml:space="preserve"/>
      </w:r>
    </w:p>
    <w:p>
      <w:pPr>
        <w:spacing w:before="160" w:after="20" w:line="290"/>
      </w:pPr>
      <w:r>
        <w:rPr>
          <w:rFonts w:ascii="Arial" w:cs="Arial" w:eastAsia="Arial" w:hAnsi="Arial"/>
          <w:b/>
          <w:bCs/>
          <w:color w:val="1A3A5C"/>
          <w:sz w:val="32"/>
          <w:szCs w:val="32"/>
        </w:rPr>
        <w:t xml:space="preserve">UNIFIED AI-DRIVEN ENTERPRISE</w:t>
      </w:r>
    </w:p>
    <w:p>
      <w:pPr>
        <w:spacing w:before="0" w:after="20" w:line="290"/>
      </w:pPr>
      <w:r>
        <w:rPr>
          <w:rFonts w:ascii="Arial" w:cs="Arial" w:eastAsia="Arial" w:hAnsi="Arial"/>
          <w:b/>
          <w:bCs/>
          <w:color w:val="1A3A5C"/>
          <w:sz w:val="32"/>
          <w:szCs w:val="32"/>
        </w:rPr>
        <w:t xml:space="preserve">DECISION INTELLIGENCE ARCHITECTURE</w:t>
      </w:r>
    </w:p>
    <w:p>
      <w:pPr>
        <w:spacing w:before="0" w:after="30" w:line="290"/>
      </w:pPr>
      <w:r>
        <w:rPr>
          <w:rFonts w:ascii="Arial" w:cs="Arial" w:eastAsia="Arial" w:hAnsi="Arial"/>
          <w:b/>
          <w:bCs/>
          <w:color w:val="1A3A5C"/>
          <w:sz w:val="44"/>
          <w:szCs w:val="44"/>
        </w:rPr>
        <w:t xml:space="preserve">U-AEDIA</w:t>
      </w:r>
    </w:p>
    <w:p>
      <w:pPr>
        <w:spacing w:before="0" w:after="10" w:line="290"/>
      </w:pPr>
      <w:r>
        <w:rPr>
          <w:rFonts w:ascii="Arial" w:cs="Arial" w:eastAsia="Arial" w:hAnsi="Arial"/>
          <w:b/>
          <w:bCs/>
          <w:color w:val="1A1A1A"/>
          <w:sz w:val="24"/>
          <w:szCs w:val="24"/>
        </w:rPr>
        <w:t xml:space="preserve">Mesbaul Haque Sazu</w:t>
      </w:r>
    </w:p>
    <w:p>
      <w:pPr>
        <w:spacing w:before="0" w:after="10" w:line="290"/>
      </w:pPr>
      <w:r>
        <w:rPr>
          <w:rFonts w:ascii="Arial" w:cs="Arial" w:eastAsia="Arial" w:hAnsi="Arial"/>
          <w:b w:val="false"/>
          <w:bCs w:val="false"/>
          <w:color w:val="555555"/>
          <w:sz w:val="20"/>
          <w:szCs w:val="20"/>
        </w:rPr>
        <w:t xml:space="preserve">Author, Principal Architect, and Copyright Claimant</w:t>
      </w:r>
    </w:p>
    <w:p>
      <w:pPr>
        <w:spacing w:before="0" w:after="10" w:line="290"/>
      </w:pPr>
      <w:r>
        <w:rPr>
          <w:rFonts w:ascii="Arial" w:cs="Arial" w:eastAsia="Arial" w:hAnsi="Arial"/>
          <w:b w:val="false"/>
          <w:bCs w:val="false"/>
          <w:color w:val="777777"/>
          <w:sz w:val="19"/>
          <w:szCs w:val="19"/>
        </w:rPr>
        <w:t xml:space="preserve">v1  |  Initial Conception  |  March 2018</w:t>
      </w:r>
    </w:p>
    <w:p>
      <w:pPr>
        <w:spacing w:before="0" w:after="80" w:line="290"/>
      </w:pPr>
      <w:r>
        <w:rPr>
          <w:rFonts w:ascii="Arial" w:cs="Arial" w:eastAsia="Arial" w:hAnsi="Arial"/>
          <w:b w:val="false"/>
          <w:bCs w:val="false"/>
          <w:color w:val="777777"/>
          <w:sz w:val="19"/>
          <w:szCs w:val="19"/>
        </w:rPr>
        <w:t xml:space="preserve">Early framework conception — decision-centric paradigm and foundational problem statement</w:t>
      </w:r>
    </w:p>
    <w:p>
      <w:pPr>
        <w:pBdr>
          <w:bottom w:val="single" w:color="1A3A5C" w:sz="4"/>
        </w:pBdr>
        <w:spacing w:before="200" w:after="200"/>
      </w:pPr>
      <w:r>
        <w:t xml:space="preserve"/>
      </w:r>
    </w:p>
    <w:p>
      <w:pPr>
        <w:pStyle w:val="Heading1"/>
      </w:pPr>
      <w:r>
        <w:rPr>
          <w:rFonts w:ascii="Arial" w:cs="Arial" w:eastAsia="Arial" w:hAnsi="Arial"/>
        </w:rPr>
        <w:t xml:space="preserve">Overview</w:t>
      </w:r>
    </w:p>
    <w:p>
      <w:pPr>
        <w:spacing w:before="60" w:after="100" w:line="290"/>
      </w:pPr>
      <w:r>
        <w:rPr>
          <w:rFonts w:ascii="Arial" w:cs="Arial" w:eastAsia="Arial" w:hAnsi="Arial"/>
          <w:b w:val="false"/>
          <w:bCs w:val="false"/>
          <w:color w:val="1A1A1A"/>
          <w:sz w:val="21"/>
          <w:szCs w:val="21"/>
        </w:rPr>
        <w:t xml:space="preserve">U-AEDIA, the Unified AI-Driven Enterprise Decision Intelligence Architecture, is an architectural framework I am conceiving and developing independently beginning in 2018. It addresses a structural problem that has not been resolved by any existing framework: how do you take an AI inference output and translate it into a governed, auditable, executed action in real time, across different industries, without reconstructing the entire decision layer from scratch for each deployment context?</w:t>
      </w:r>
    </w:p>
    <w:p>
      <w:pPr>
        <w:spacing w:before="80" w:after="80"/>
      </w:pPr>
      <w:r>
        <w:t xml:space="preserve"/>
      </w:r>
    </w:p>
    <w:p>
      <w:pPr>
        <w:spacing w:before="60" w:after="100" w:line="290"/>
      </w:pPr>
      <w:r>
        <w:rPr>
          <w:rFonts w:ascii="Arial" w:cs="Arial" w:eastAsia="Arial" w:hAnsi="Arial"/>
          <w:b w:val="false"/>
          <w:bCs w:val="false"/>
          <w:color w:val="1A1A1A"/>
          <w:sz w:val="21"/>
          <w:szCs w:val="21"/>
        </w:rPr>
        <w:t xml:space="preserve">The answer I am developing is a framework organized around a principle I call the decision-centric paradigm: the decision, not the data or the model output, is the primary architectural unit. Every other component — ingestion, feature computation, model inference, rule evaluation, workflow execution, and audit recording — is designed to produce one complete, governed decision object as its output.</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Authorship and Original Creation Statement</w:t>
      </w:r>
    </w:p>
    <w:p>
      <w:pPr>
        <w:spacing w:before="60" w:after="100" w:line="290"/>
      </w:pPr>
      <w:r>
        <w:rPr>
          <w:rFonts w:ascii="Arial" w:cs="Arial" w:eastAsia="Arial" w:hAnsi="Arial"/>
          <w:b w:val="false"/>
          <w:bCs w:val="false"/>
          <w:color w:val="1A1A1A"/>
          <w:sz w:val="21"/>
          <w:szCs w:val="21"/>
        </w:rPr>
        <w:t xml:space="preserve">U-AEDIA is being independently conceived, designed, and developed by me. The framework is not derived from any prior published work, existing commercial platform, or collaborative effort. The architectural constructs, design patterns, and terminology introduced in this document are original intellectual contributions I am developing through my own research and production system design work.</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Original Intellectual Contributions Being Developed</w:t>
      </w:r>
    </w:p>
    <w:p>
      <w:pPr>
        <w:spacing w:before="60" w:after="100" w:line="290"/>
      </w:pPr>
      <w:r>
        <w:rPr>
          <w:rFonts w:ascii="Arial" w:cs="Arial" w:eastAsia="Arial" w:hAnsi="Arial"/>
          <w:b w:val="false"/>
          <w:bCs w:val="false"/>
          <w:color w:val="1A1A1A"/>
          <w:sz w:val="21"/>
          <w:szCs w:val="21"/>
        </w:rPr>
        <w:t xml:space="preserve">The following are the specific original architectural constructs I am introducing through this framework. Each represents an intellectual contribution that has not been previously formalized as a unified, domain-agnostic architectural construct in the enterprise AI field:</w:t>
      </w:r>
    </w:p>
    <w:p>
      <w:pPr>
        <w:spacing w:before="80" w:after="80"/>
      </w:pPr>
      <w:r>
        <w:t xml:space="preserve"/>
      </w:r>
    </w:p>
    <w:p>
      <w:pPr>
        <w:pStyle w:val="ListParagraph"/>
        <w:numPr>
          <w:ilvl w:val="0"/>
          <w:numId w:val="2"/>
        </w:numPr>
        <w:spacing w:before="40" w:after="60" w:line="280"/>
      </w:pPr>
      <w:r>
        <w:rPr>
          <w:rFonts w:ascii="Arial" w:cs="Arial" w:eastAsia="Arial" w:hAnsi="Arial"/>
          <w:color w:val="1A1A1A"/>
          <w:sz w:val="21"/>
          <w:szCs w:val="21"/>
        </w:rPr>
        <w:t xml:space="preserve">Decision Orchestration Layer (DOL): a dedicated architectural control plane that will integrate ML inference, real-time rule evaluation, workflow execution, human-in-loop management, and immutable audit recording into a unified decision lifecycle governed by a deterministic state machine</w:t>
      </w:r>
    </w:p>
    <w:p>
      <w:pPr>
        <w:pStyle w:val="ListParagraph"/>
        <w:numPr>
          <w:ilvl w:val="0"/>
          <w:numId w:val="2"/>
        </w:numPr>
        <w:spacing w:before="40" w:after="60" w:line="280"/>
      </w:pPr>
      <w:r>
        <w:rPr>
          <w:rFonts w:ascii="Arial" w:cs="Arial" w:eastAsia="Arial" w:hAnsi="Arial"/>
          <w:color w:val="1A1A1A"/>
          <w:sz w:val="21"/>
          <w:szCs w:val="21"/>
        </w:rPr>
        <w:t xml:space="preserve">Decision Object Schema: a formal, versioned data structure capturing the complete AI decision lifecycle as a single structured record under one persistent identifier, from raw event ingestion through executed action</w:t>
      </w:r>
    </w:p>
    <w:p>
      <w:pPr>
        <w:pStyle w:val="ListParagraph"/>
        <w:numPr>
          <w:ilvl w:val="0"/>
          <w:numId w:val="2"/>
        </w:numPr>
        <w:spacing w:before="40" w:after="60" w:line="280"/>
      </w:pPr>
      <w:r>
        <w:rPr>
          <w:rFonts w:ascii="Arial" w:cs="Arial" w:eastAsia="Arial" w:hAnsi="Arial"/>
          <w:color w:val="1A1A1A"/>
          <w:sz w:val="21"/>
          <w:szCs w:val="21"/>
        </w:rPr>
        <w:t xml:space="preserve">DOL Formal State Machine: a formally specified state machine governing all decision lifecycle transitions, with atomic, durable, audit-logged state changes and explicit failure transitions to known recovery states</w:t>
      </w:r>
    </w:p>
    <w:p>
      <w:pPr>
        <w:pStyle w:val="ListParagraph"/>
        <w:numPr>
          <w:ilvl w:val="0"/>
          <w:numId w:val="2"/>
        </w:numPr>
        <w:spacing w:before="40" w:after="60" w:line="280"/>
      </w:pPr>
      <w:r>
        <w:rPr>
          <w:rFonts w:ascii="Arial" w:cs="Arial" w:eastAsia="Arial" w:hAnsi="Arial"/>
          <w:color w:val="1A1A1A"/>
          <w:sz w:val="21"/>
          <w:szCs w:val="21"/>
        </w:rPr>
        <w:t xml:space="preserve">Training-Serving Consistency as an Architectural Guarantee: a Feature Store design pattern using a unified feature definition registry to make training-serving consistency a structural property of the system rather than an operational discipline</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The Problem This Framework Addresses</w:t>
      </w:r>
    </w:p>
    <w:p>
      <w:pPr>
        <w:spacing w:before="60" w:after="100" w:line="290"/>
      </w:pPr>
      <w:r>
        <w:rPr>
          <w:rFonts w:ascii="Arial" w:cs="Arial" w:eastAsia="Arial" w:hAnsi="Arial"/>
          <w:b w:val="false"/>
          <w:bCs w:val="false"/>
          <w:color w:val="1A1A1A"/>
          <w:sz w:val="21"/>
          <w:szCs w:val="21"/>
        </w:rPr>
        <w:t xml:space="preserve">Enterprise AI systems fail not because they lack good models or data infrastructure, but because they lack a coherent layer that takes intelligence outputs and translates them into governed, executable, auditable decisions. Every framework available at the time this work began tries to solve parts of this. Lambda handles data at scale. MLOps manages model lifecycle. BPM executes workflows. But none of them connect inference to governed action under a unified audit trail.</w:t>
      </w:r>
    </w:p>
    <w:p>
      <w:pPr>
        <w:spacing w:before="80" w:after="80"/>
      </w:pPr>
      <w:r>
        <w:t xml:space="preserve"/>
      </w:r>
    </w:p>
    <w:p>
      <w:pPr>
        <w:spacing w:before="60" w:after="100" w:line="290"/>
      </w:pPr>
      <w:r>
        <w:rPr>
          <w:rFonts w:ascii="Arial" w:cs="Arial" w:eastAsia="Arial" w:hAnsi="Arial"/>
          <w:b w:val="false"/>
          <w:bCs w:val="false"/>
          <w:color w:val="1A1A1A"/>
          <w:sz w:val="21"/>
          <w:szCs w:val="21"/>
        </w:rPr>
        <w:t xml:space="preserve">The specific problem: how do you take an AI inference output and translate it into a governed, auditable, executed action in real time, across different industries, without reconstructing the entire decision layer from scratch for each deployment context? This question had not been answered by any existing framework. U-AEDIA is that answer, formalized as a repeatable, domain-agnostic architecture.</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The Decision-Centric Paradigm</w:t>
      </w:r>
    </w:p>
    <w:p>
      <w:pPr>
        <w:spacing w:before="60" w:after="100" w:line="290"/>
      </w:pPr>
      <w:r>
        <w:rPr>
          <w:rFonts w:ascii="Arial" w:cs="Arial" w:eastAsia="Arial" w:hAnsi="Arial"/>
          <w:b w:val="false"/>
          <w:bCs w:val="false"/>
          <w:color w:val="1A1A1A"/>
          <w:sz w:val="21"/>
          <w:szCs w:val="21"/>
        </w:rPr>
        <w:t xml:space="preserve">The core principle of U-AEDIA is the decision-centric paradigm: the decision, not the data or the model output, is the primary architectural unit. Every other component — ingestion, feature computation, model inference, rule evaluation, workflow execution, and audit recording — is designed to produce one complete, governed decision object as its output.</w:t>
      </w:r>
    </w:p>
    <w:p>
      <w:pPr>
        <w:spacing w:before="80" w:after="80"/>
      </w:pPr>
      <w:r>
        <w:t xml:space="preserve"/>
      </w:r>
    </w:p>
    <w:p>
      <w:pPr>
        <w:spacing w:before="60" w:after="100" w:line="290"/>
      </w:pPr>
      <w:r>
        <w:rPr>
          <w:rFonts w:ascii="Arial" w:cs="Arial" w:eastAsia="Arial" w:hAnsi="Arial"/>
          <w:b w:val="false"/>
          <w:bCs w:val="false"/>
          <w:color w:val="1A1A1A"/>
          <w:sz w:val="21"/>
          <w:szCs w:val="21"/>
        </w:rPr>
        <w:t xml:space="preserve">This is a departure from the analytics-centric framing that dominated enterprise AI at the time: systems produced outputs that humans interpreted and acted on separately. The decision-centric paradigm changes the question from 'what did the model predict?' to 'what decision did the system make, and can you show me the complete record?'</w:t>
      </w:r>
    </w:p>
    <w:p>
      <w:pPr>
        <w:spacing w:before="80" w:after="80"/>
      </w:pPr>
      <w:r>
        <w:t xml:space="preserve"/>
      </w:r>
    </w:p>
    <w:p>
      <w:pPr>
        <w:pBdr>
          <w:top w:val="single" w:color="BBBBBB" w:sz="2"/>
          <w:bottom w:val="single" w:color="BBBBBB" w:sz="2"/>
          <w:left w:val="single" w:color="1A3A5C" w:sz="8"/>
          <w:right w:val="single" w:color="BBBBBB" w:sz="2"/>
        </w:pBdr>
        <w:shd w:fill="F0F4F8" w:val="clear"/>
        <w:spacing w:before="80" w:after="80" w:line="280"/>
        <w:ind w:left="220" w:right="220"/>
      </w:pPr>
      <w:r>
        <w:rPr>
          <w:rFonts w:ascii="Arial" w:cs="Arial" w:eastAsia="Arial" w:hAnsi="Arial"/>
          <w:color w:val="1A1A1A"/>
          <w:sz w:val="20"/>
          <w:szCs w:val="20"/>
        </w:rPr>
        <w:t xml:space="preserve">The decision, not the data or model output, is the primary architectural unit. This single design choice is what distinguishes a system that advises from a system that acts — and that can prove what it decided and why.</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The Four Architectural Properties</w:t>
      </w:r>
    </w:p>
    <w:p>
      <w:pPr>
        <w:spacing w:before="60" w:after="100" w:line="290"/>
      </w:pPr>
      <w:r>
        <w:rPr>
          <w:rFonts w:ascii="Arial" w:cs="Arial" w:eastAsia="Arial" w:hAnsi="Arial"/>
          <w:b w:val="false"/>
          <w:bCs w:val="false"/>
          <w:color w:val="1A1A1A"/>
          <w:sz w:val="21"/>
          <w:szCs w:val="21"/>
        </w:rPr>
        <w:t xml:space="preserve">Across all implementations, regardless of industry or technical form, the same four properties are present. These are specific architectural decisions, not aspirational design goals.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What it means in practice</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Why it matters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Decision-centric design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The decision is the primary architectural unit. The system produces governed decisions with complete audit records, not analytical outputs that humans interpret and act on separately.</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Eliminates the human intermediation bottleneck between AI output and operational action. Without it, you have an advisory system. With it, you have a system that acts, and one that can prove what it decided and why.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Real-time event-driven processing</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All stages — feature computation, model inference, rule evaluation, and decision execution — happen within one latency budget in response to live events. No batch cycles. No handoffs between systems.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Required for any use case where the value of the decision depends on its timing: transaction authorization, clinical triage, industrial safety, real-time procurement.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Unified pipeline orchestration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Every stage operates within a single orchestrated pipeline with defined interface contracts. A single identifier, the Decision Context ID, runs from ingestion through to the completed audit record.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Makes end-to-end audit traceability a structural property rather than something you reconstruct after the fact. Directly satisfies SR 11-7, HIPAA, and EU AI Act auditability requirements.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Embedded governance enforcement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Compliance requirements are enforced within the execution pipeline before each action, not applied as post-hoc review.</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Post-hoc governance detection is insufficient in regulated environments. By the time a violation is detected, the action has already executed and may be irreversible.</w:t>
            </w:r>
          </w:p>
        </w:tc>
      </w:tr>
    </w:tbl>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How U-AEDIA Came to Exist</w:t>
      </w:r>
    </w:p>
    <w:p>
      <w:pPr>
        <w:spacing w:before="60" w:after="100" w:line="290"/>
      </w:pPr>
      <w:r>
        <w:rPr>
          <w:rFonts w:ascii="Arial" w:cs="Arial" w:eastAsia="Arial" w:hAnsi="Arial"/>
          <w:b w:val="false"/>
          <w:bCs w:val="false"/>
          <w:color w:val="1A1A1A"/>
          <w:sz w:val="21"/>
          <w:szCs w:val="21"/>
        </w:rPr>
        <w:t xml:space="preserve">In 2018 I joined Discover Financial Services as Product Manager for credit analytics. The immediate problem: Discover's credit decisioning was fragmented. Fraud evaluation, credit risk scoring, and authorization ran in separate systems with no shared context. Audit reconstruction required correlating logs across three systems, a process that took weeks. The adverse action notices sent to declined applicants came from generic score-band templates that did not reflect what the models actually computed for each individual. Everything ran in batch cycles.</w:t>
      </w:r>
    </w:p>
    <w:p>
      <w:pPr>
        <w:spacing w:before="80" w:after="80"/>
      </w:pPr>
      <w:r>
        <w:t xml:space="preserve"/>
      </w:r>
    </w:p>
    <w:p>
      <w:pPr>
        <w:spacing w:before="60" w:after="100" w:line="290"/>
      </w:pPr>
      <w:r>
        <w:rPr>
          <w:rFonts w:ascii="Arial" w:cs="Arial" w:eastAsia="Arial" w:hAnsi="Arial"/>
          <w:b w:val="false"/>
          <w:bCs w:val="false"/>
          <w:color w:val="1A1A1A"/>
          <w:sz w:val="21"/>
          <w:szCs w:val="21"/>
        </w:rPr>
        <w:t xml:space="preserve">On top of that, Discover needed to satisfy Federal Reserve SR 11-7 model risk management requirements, ECOA's individual adverse action accuracy requirements, and Regulation B, all while meeting the card network's 150-millisecond authorization SLA. No existing architectural framework handled all four simultaneously. Lambda and Kappa addressed data processing but had no concept of a decision. MLOps platforms produced model scores but had no connection to downstream execution. BPM systems executed workflows but had no ML integration. Rules engines evaluated policy but received no live inference input.</w:t>
      </w:r>
    </w:p>
    <w:p>
      <w:pPr>
        <w:spacing w:before="80" w:after="80"/>
      </w:pPr>
      <w:r>
        <w:t xml:space="preserve"/>
      </w:r>
    </w:p>
    <w:p>
      <w:pPr>
        <w:spacing w:before="60" w:after="100" w:line="290"/>
      </w:pPr>
      <w:r>
        <w:rPr>
          <w:rFonts w:ascii="Arial" w:cs="Arial" w:eastAsia="Arial" w:hAnsi="Arial"/>
          <w:b w:val="false"/>
          <w:bCs w:val="false"/>
          <w:color w:val="1A1A1A"/>
          <w:sz w:val="21"/>
          <w:szCs w:val="21"/>
        </w:rPr>
        <w:t xml:space="preserve">The framework I am designing in response is not a Discover-specific solution. The problem — how to connect AI inference to governed operational action in real time — is structural to enterprise AI deployment. It appears in exactly the same form in healthcare, insurance, industrial operations, and anywhere organizations are trying to move from AI that advises to AI that acts.</w:t>
      </w:r>
    </w:p>
    <w:p>
      <w:pPr>
        <w:spacing w:before="80" w:after="80"/>
      </w:pPr>
      <w:r>
        <w:t xml:space="preserve"/>
      </w:r>
    </w:p>
    <w:p>
      <w:pPr>
        <w:pBdr>
          <w:bottom w:val="single" w:color="1A3A5C" w:sz="4"/>
        </w:pBdr>
        <w:spacing w:before="200" w:after="200"/>
      </w:pPr>
      <w:r>
        <w:t xml:space="preserve"/>
      </w:r>
    </w:p>
    <w:p>
      <w:pPr>
        <w:pStyle w:val="Heading1"/>
      </w:pPr>
      <w:r>
        <w:rPr>
          <w:rFonts w:ascii="Arial" w:cs="Arial" w:eastAsia="Arial" w:hAnsi="Arial"/>
        </w:rPr>
        <w:t xml:space="preserve">Framework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5160"/>
      </w:tblGrid>
      <w:tr>
        <w:trPr>
          <w:tblHeader/>
        </w:trPr>
        <w:tc>
          <w:tcPr>
            <w:tcW w:type="dxa" w:w="1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Version</w:t>
            </w:r>
          </w:p>
        </w:tc>
        <w:tc>
          <w:tcPr>
            <w:tcW w:type="dxa" w:w="1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Date</w:t>
            </w:r>
          </w:p>
        </w:tc>
        <w:tc>
          <w:tcPr>
            <w:tcW w:type="dxa" w:w="1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Status</w:t>
            </w:r>
          </w:p>
        </w:tc>
        <w:tc>
          <w:tcPr>
            <w:tcW w:type="dxa" w:w="5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9"/>
                <w:szCs w:val="19"/>
              </w:rPr>
              <w:t xml:space="preserve">Scope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v1 — Initial Conception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March 2018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Current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40" w:after="40" w:line="270"/>
            </w:pPr>
            <w:r>
              <w:rPr>
                <w:rFonts w:ascii="Arial" w:cs="Arial" w:eastAsia="Arial" w:hAnsi="Arial"/>
                <w:color w:val="1A1A1A"/>
                <w:sz w:val="19"/>
                <w:szCs w:val="19"/>
              </w:rPr>
              <w:t xml:space="preserve">Decision-centric paradigm, four architectural properties, foundational problem statement, early DOL concept</w:t>
            </w:r>
          </w:p>
        </w:tc>
      </w:tr>
    </w:tbl>
    <w:p>
      <w:pPr>
        <w:spacing w:before="200" w:after="0"/>
      </w:pPr>
      <w:r>
        <w:t xml:space="preserve"/>
      </w:r>
    </w:p>
    <w:p>
      <w:pPr>
        <w:pBdr>
          <w:top w:val="single" w:color="1A3A5C" w:sz="3"/>
        </w:pBdr>
        <w:spacing w:before="320" w:after="0"/>
      </w:pPr>
      <w:r>
        <w:rPr>
          <w:rFonts w:ascii="Arial" w:cs="Arial" w:eastAsia="Arial" w:hAnsi="Arial"/>
          <w:color w:val="777777"/>
          <w:sz w:val="17"/>
          <w:szCs w:val="17"/>
        </w:rPr>
        <w:t xml:space="preserve">U-AEDIA: Technical Specification and Design Record  |  Mesbaul Haque Sazu  |  Author and Copyright Claimant  |  v1, March 2018  |  Confidential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Arial" w:cs="Arial" w:eastAsia="Arial" w:hAnsi="Arial"/>
      <w:b/>
      <w:bCs/>
      <w:color w:val="1A3A5C"/>
      <w:sz w:val="26"/>
      <w:szCs w:val="26"/>
    </w:rPr>
  </w:style>
  <w:style w:type="paragraph" w:styleId="Heading2">
    <w:name w:val="Heading 2"/>
    <w:basedOn w:val="Normal"/>
    <w:next w:val="Normal"/>
    <w:qFormat/>
    <w:pPr>
      <w:spacing w:before="240" w:after="80"/>
      <w:outlineLvl w:val="1"/>
    </w:pPr>
    <w:rPr>
      <w:rFonts w:ascii="Arial" w:cs="Arial" w:eastAsia="Arial" w:hAnsi="Arial"/>
      <w:b/>
      <w:bCs/>
      <w:color w:val="1A1A1A"/>
      <w:sz w:val="22"/>
      <w:szCs w:val="22"/>
    </w:rPr>
  </w:style>
  <w:style w:type="paragraph" w:styleId="Heading3">
    <w:name w:val="Heading 3"/>
    <w:basedOn w:val="Normal"/>
    <w:next w:val="Normal"/>
    <w:qFormat/>
    <w:pPr>
      <w:spacing w:before="180" w:after="60"/>
      <w:outlineLvl w:val="2"/>
    </w:pPr>
    <w:rPr>
      <w:rFonts w:ascii="Arial" w:cs="Arial" w:eastAsia="Arial" w:hAnsi="Arial"/>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2026-03-31T07:13:51.092Z</dcterms:created>
  <dcterms:modified xsi:type="dcterms:W3CDTF">2026-03-31T07:13:51.092Z</dcterms:modified>
</cp:coreProperties>
</file>

<file path=docProps/custom.xml><?xml version="1.0" encoding="utf-8"?>
<Properties xmlns="http://schemas.openxmlformats.org/officeDocument/2006/custom-properties" xmlns:vt="http://schemas.openxmlformats.org/officeDocument/2006/docPropsVTypes"/>
</file>