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t xml:space="preserve"/>
      </w:r>
    </w:p>
    <w:p>
      <w:pPr>
        <w:shd w:fill="1A3A5C" w:val="clear"/>
        <w:spacing w:before="0" w:after="0"/>
      </w:pPr>
      <w:r>
        <w:rPr>
          <w:rFonts w:ascii="Arial" w:cs="Arial" w:eastAsia="Arial" w:hAnsi="Arial"/>
          <w:b/>
          <w:bCs/>
          <w:color w:val="FFFFFF"/>
          <w:sz w:val="20"/>
          <w:szCs w:val="20"/>
        </w:rPr>
        <w:t xml:space="preserve">  TECHNICAL SPECIFICATION AND DESIGN RECORD  |  ORIGINAL ARCHITECTURAL FRAMEWORK</w:t>
      </w:r>
    </w:p>
    <w:p>
      <w:pPr>
        <w:spacing w:before="60" w:after="0"/>
      </w:pPr>
      <w:r>
        <w:t xml:space="preserve"/>
      </w:r>
    </w:p>
    <w:p>
      <w:pPr>
        <w:spacing w:before="160" w:after="20" w:line="290"/>
      </w:pPr>
      <w:r>
        <w:rPr>
          <w:rFonts w:ascii="Arial" w:cs="Arial" w:eastAsia="Arial" w:hAnsi="Arial"/>
          <w:b/>
          <w:bCs/>
          <w:color w:val="1A3A5C"/>
          <w:sz w:val="32"/>
          <w:szCs w:val="32"/>
        </w:rPr>
        <w:t xml:space="preserve">UNIFIED AI-DRIVEN ENTERPRISE</w:t>
      </w:r>
    </w:p>
    <w:p>
      <w:pPr>
        <w:spacing w:before="0" w:after="20" w:line="290"/>
      </w:pPr>
      <w:r>
        <w:rPr>
          <w:rFonts w:ascii="Arial" w:cs="Arial" w:eastAsia="Arial" w:hAnsi="Arial"/>
          <w:b/>
          <w:bCs/>
          <w:color w:val="1A3A5C"/>
          <w:sz w:val="32"/>
          <w:szCs w:val="32"/>
        </w:rPr>
        <w:t xml:space="preserve">DECISION INTELLIGENCE ARCHITECTURE</w:t>
      </w:r>
    </w:p>
    <w:p>
      <w:pPr>
        <w:spacing w:before="0" w:after="30" w:line="290"/>
      </w:pPr>
      <w:r>
        <w:rPr>
          <w:rFonts w:ascii="Arial" w:cs="Arial" w:eastAsia="Arial" w:hAnsi="Arial"/>
          <w:b/>
          <w:bCs/>
          <w:color w:val="1A3A5C"/>
          <w:sz w:val="44"/>
          <w:szCs w:val="44"/>
        </w:rPr>
        <w:t xml:space="preserve">U-AEDIA</w:t>
      </w:r>
    </w:p>
    <w:p>
      <w:pPr>
        <w:spacing w:before="0" w:after="10" w:line="290"/>
      </w:pPr>
      <w:r>
        <w:rPr>
          <w:rFonts w:ascii="Arial" w:cs="Arial" w:eastAsia="Arial" w:hAnsi="Arial"/>
          <w:b/>
          <w:bCs/>
          <w:color w:val="1A1A1A"/>
          <w:sz w:val="24"/>
          <w:szCs w:val="24"/>
        </w:rPr>
        <w:t xml:space="preserve">Mesbaul Haque Sazu</w:t>
      </w:r>
    </w:p>
    <w:p>
      <w:pPr>
        <w:spacing w:before="0" w:after="10" w:line="290"/>
      </w:pPr>
      <w:r>
        <w:rPr>
          <w:rFonts w:ascii="Arial" w:cs="Arial" w:eastAsia="Arial" w:hAnsi="Arial"/>
          <w:b w:val="false"/>
          <w:bCs w:val="false"/>
          <w:color w:val="555555"/>
          <w:sz w:val="20"/>
          <w:szCs w:val="20"/>
        </w:rPr>
        <w:t xml:space="preserve">Author, Principal Architect, and Copyright Claimant</w:t>
      </w:r>
    </w:p>
    <w:p>
      <w:pPr>
        <w:spacing w:before="0" w:after="10" w:line="290"/>
      </w:pPr>
      <w:r>
        <w:rPr>
          <w:rFonts w:ascii="Arial" w:cs="Arial" w:eastAsia="Arial" w:hAnsi="Arial"/>
          <w:b w:val="false"/>
          <w:bCs w:val="false"/>
          <w:color w:val="777777"/>
          <w:sz w:val="19"/>
          <w:szCs w:val="19"/>
        </w:rPr>
        <w:t xml:space="preserve">v5  |  Current Version — Complete Specification  |  March 2025</w:t>
      </w:r>
    </w:p>
    <w:p>
      <w:pPr>
        <w:spacing w:before="0" w:after="80" w:line="290"/>
      </w:pPr>
      <w:r>
        <w:rPr>
          <w:rFonts w:ascii="Arial" w:cs="Arial" w:eastAsia="Arial" w:hAnsi="Arial"/>
          <w:b w:val="false"/>
          <w:bCs w:val="false"/>
          <w:color w:val="777777"/>
          <w:sz w:val="19"/>
          <w:szCs w:val="19"/>
        </w:rPr>
        <w:t xml:space="preserve">Complete unified framework incorporating all three deployments, all six contributions, full glossary, reference index, and performance benchmarks</w:t>
      </w:r>
    </w:p>
    <w:p>
      <w:pPr>
        <w:pBdr>
          <w:bottom w:val="single" w:color="1A3A5C" w:sz="4"/>
        </w:pBdr>
        <w:spacing w:before="200" w:after="200"/>
      </w:pPr>
      <w:r>
        <w:t xml:space="preserve"/>
      </w:r>
    </w:p>
    <w:p>
      <w:pPr>
        <w:pStyle w:val="Heading1"/>
      </w:pPr>
      <w:r>
        <w:rPr>
          <w:rFonts w:ascii="Arial" w:cs="Arial" w:eastAsia="Arial" w:hAnsi="Arial"/>
        </w:rPr>
        <w:t xml:space="preserve">Overview</w:t>
      </w:r>
    </w:p>
    <w:p>
      <w:pPr>
        <w:spacing w:before="60" w:after="100" w:line="290"/>
      </w:pPr>
      <w:r>
        <w:rPr>
          <w:rFonts w:ascii="Arial" w:cs="Arial" w:eastAsia="Arial" w:hAnsi="Arial"/>
          <w:b w:val="false"/>
          <w:bCs w:val="false"/>
          <w:color w:val="1A1A1A"/>
          <w:sz w:val="21"/>
          <w:szCs w:val="21"/>
        </w:rPr>
        <w:t xml:space="preserve">U-AEDIA, the Unified AI-Driven Enterprise Decision Intelligence Architecture, is an architectural framework I conceived and developed independently starting in 2018. It addresses a structural problem that had not been resolved by any existing framework at the time: how do you take an AI inference output and translate it into a governed, auditable, executed action in real time, across different industries, without reconstructing the entire decision layer from scratch for each deployment context?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answer I developed is a five-layer architecture organized around the decision-centric paradigm: the decision, not the data or the model output, is the primary architectural unit. I first applied this framework at Discover Financial Services in 2018. I applied the same architectural principles at Teradata Corporation from 2020 to 2022, productizing enterprise AI analytics into a platform that independent organizations could license and operate themselves. And I applied them again at a leading global technology services firm from 2022 onward, building an enterprise agentic AI platform where autonomous agents coordinate and execute enterprise workflows under embedded governance.</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Three different organizations. Five different industries. The same four architectural properties running through all of them. I first published this framework document in August 2018, documenting the architecture I had designed and deployed at Discover Financial Services. I have updated it continuously as the framework was applied at each subsequent organization. This current version reflects the complete framework across all three deployments.</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Authorship and Original Creation Statement</w:t>
      </w:r>
    </w:p>
    <w:p>
      <w:pPr>
        <w:spacing w:before="60" w:after="100" w:line="290"/>
      </w:pPr>
      <w:r>
        <w:rPr>
          <w:rFonts w:ascii="Arial" w:cs="Arial" w:eastAsia="Arial" w:hAnsi="Arial"/>
          <w:b w:val="false"/>
          <w:bCs w:val="false"/>
          <w:color w:val="1A1A1A"/>
          <w:sz w:val="21"/>
          <w:szCs w:val="21"/>
        </w:rPr>
        <w:t xml:space="preserve">U-AEDIA was independently conceived, designed, and developed by me. The framework was not derived from any prior published work, existing commercial platform, or collaborative effort. The architectural constructs, design patterns, and terminology introduced in this document are original intellectual contributions I developed through my own research and production system design work beginning in 2018.</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framework existed in applied form across three independent production deployments before this complete specification was finalized. There was no prior publication of U-AEDIA as a unified architectural framework before my August 2018 drafting began.</w:t>
      </w:r>
    </w:p>
    <w:p>
      <w:pPr>
        <w:spacing w:before="80" w:after="80"/>
      </w:pPr>
      <w:r>
        <w:t xml:space="preserve"/>
      </w:r>
    </w:p>
    <w:p>
      <w:pPr>
        <w:pStyle w:val="Heading2"/>
      </w:pPr>
      <w:r>
        <w:rPr>
          <w:rFonts w:ascii="Arial" w:cs="Arial" w:eastAsia="Arial" w:hAnsi="Arial"/>
        </w:rPr>
        <w:t xml:space="preserve">Original intellectual contributions claimed — all six</w:t>
      </w:r>
    </w:p>
    <w:p>
      <w:pPr>
        <w:pStyle w:val="ListParagraph"/>
        <w:numPr>
          <w:ilvl w:val="0"/>
          <w:numId w:val="2"/>
        </w:numPr>
        <w:spacing w:before="40" w:after="60" w:line="280"/>
      </w:pPr>
      <w:r>
        <w:rPr>
          <w:rFonts w:ascii="Arial" w:cs="Arial" w:eastAsia="Arial" w:hAnsi="Arial"/>
          <w:color w:val="1A1A1A"/>
          <w:sz w:val="21"/>
          <w:szCs w:val="21"/>
        </w:rPr>
        <w:t xml:space="preserve">1. Decision Orchestration Layer (DOL): a dedicated architectural control plane integrating ML inference, real-time rule evaluation, workflow execution, human-in-loop management, and immutable audit recording into a unified decision lifecycle governed by a deterministic state machine</w:t>
      </w:r>
    </w:p>
    <w:p>
      <w:pPr>
        <w:pStyle w:val="ListParagraph"/>
        <w:numPr>
          <w:ilvl w:val="0"/>
          <w:numId w:val="2"/>
        </w:numPr>
        <w:spacing w:before="40" w:after="60" w:line="280"/>
      </w:pPr>
      <w:r>
        <w:rPr>
          <w:rFonts w:ascii="Arial" w:cs="Arial" w:eastAsia="Arial" w:hAnsi="Arial"/>
          <w:color w:val="1A1A1A"/>
          <w:sz w:val="21"/>
          <w:szCs w:val="21"/>
        </w:rPr>
        <w:t xml:space="preserve">2. Decision Object Schema: a formal, versioned data structure capturing the complete AI decision lifecycle as a single structured record under one persistent identifier, from raw event ingestion through executed action</w:t>
      </w:r>
    </w:p>
    <w:p>
      <w:pPr>
        <w:pStyle w:val="ListParagraph"/>
        <w:numPr>
          <w:ilvl w:val="0"/>
          <w:numId w:val="2"/>
        </w:numPr>
        <w:spacing w:before="40" w:after="60" w:line="280"/>
      </w:pPr>
      <w:r>
        <w:rPr>
          <w:rFonts w:ascii="Arial" w:cs="Arial" w:eastAsia="Arial" w:hAnsi="Arial"/>
          <w:color w:val="1A1A1A"/>
          <w:sz w:val="21"/>
          <w:szCs w:val="21"/>
        </w:rPr>
        <w:t xml:space="preserve">3. DOL Formal State Machine: a formally specified state machine governing all decision lifecycle transitions, with atomic, durable, audit-logged state changes and explicit failure transitions to known recovery states</w:t>
      </w:r>
    </w:p>
    <w:p>
      <w:pPr>
        <w:pStyle w:val="ListParagraph"/>
        <w:numPr>
          <w:ilvl w:val="0"/>
          <w:numId w:val="2"/>
        </w:numPr>
        <w:spacing w:before="40" w:after="60" w:line="280"/>
      </w:pPr>
      <w:r>
        <w:rPr>
          <w:rFonts w:ascii="Arial" w:cs="Arial" w:eastAsia="Arial" w:hAnsi="Arial"/>
          <w:color w:val="1A1A1A"/>
          <w:sz w:val="21"/>
          <w:szCs w:val="21"/>
        </w:rPr>
        <w:t xml:space="preserve">4. Domain Configuration Package (DCP): a formal parameterization model externalizing all domain-specific configuration from core architectural components, enabling cross-domain deployment without re-implementation</w:t>
      </w:r>
    </w:p>
    <w:p>
      <w:pPr>
        <w:pStyle w:val="ListParagraph"/>
        <w:numPr>
          <w:ilvl w:val="0"/>
          <w:numId w:val="2"/>
        </w:numPr>
        <w:spacing w:before="40" w:after="60" w:line="280"/>
      </w:pPr>
      <w:r>
        <w:rPr>
          <w:rFonts w:ascii="Arial" w:cs="Arial" w:eastAsia="Arial" w:hAnsi="Arial"/>
          <w:color w:val="1A1A1A"/>
          <w:sz w:val="21"/>
          <w:szCs w:val="21"/>
        </w:rPr>
        <w:t xml:space="preserve">5. Training-Serving Consistency as an Architectural Guarantee: a Feature Store design pattern using a unified feature definition registry to make training-serving consistency a structural property of the system rather than an operational discipline</w:t>
      </w:r>
    </w:p>
    <w:p>
      <w:pPr>
        <w:pStyle w:val="ListParagraph"/>
        <w:numPr>
          <w:ilvl w:val="0"/>
          <w:numId w:val="2"/>
        </w:numPr>
        <w:spacing w:before="40" w:after="60" w:line="280"/>
      </w:pPr>
      <w:r>
        <w:rPr>
          <w:rFonts w:ascii="Arial" w:cs="Arial" w:eastAsia="Arial" w:hAnsi="Arial"/>
          <w:color w:val="1A1A1A"/>
          <w:sz w:val="21"/>
          <w:szCs w:val="21"/>
        </w:rPr>
        <w:t xml:space="preserve">6. Governance-Embedded Agentic Execution: an architectural pattern placing compliance enforcement inside the agent action layer before each execution, rather than applying post-hoc monitoring or observability</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Framework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50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was formalized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v1 — Initial Conception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March 2018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 four architectural properties, foundational problem statement and early DOL concept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v2 — First Publication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August 2018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Five-layer architecture, DOL, Decision Object schema, decision state machine, DCID, Feature Store, prior art analysis. First public release.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v3 — Teradata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June 2020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Added DCP, multi-tenant model governance, ModelOps governance framework. Documents the Teradata Corporation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v4 — Agentic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June 2022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Added Enterprise Context Graph, Agentic Orchestration Engine, governance-embedded agentic execution, pre-action compliance enforcement. Documents the third-organization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v5 — Current 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March 2025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Current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Complete specification incorporating all three deployment contexts. All six original contributions, cross-domain DCP model, governance framework, performance benchmarks, and full glossary.</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Problem This Framework Addresses</w:t>
      </w:r>
    </w:p>
    <w:p>
      <w:pPr>
        <w:spacing w:before="60" w:after="100" w:line="290"/>
      </w:pPr>
      <w:r>
        <w:rPr>
          <w:rFonts w:ascii="Arial" w:cs="Arial" w:eastAsia="Arial" w:hAnsi="Arial"/>
          <w:b w:val="false"/>
          <w:bCs w:val="false"/>
          <w:color w:val="1A1A1A"/>
          <w:sz w:val="21"/>
          <w:szCs w:val="21"/>
        </w:rPr>
        <w:t xml:space="preserve">Enterprise AI systems fail not because they lack good models or data infrastructure, but because they lack a coherent layer that takes intelligence outputs and translates them into governed, executable, auditable decisions. Every framework available at the time this work began tries to solve parts of this. Lambda handles data at scale. MLOps manages model lifecycle. BPM executes workflows. But none of them connect inference to governed action under a unified audit trail.</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specific problem: how do you take an AI inference output and translate it into a governed, auditable, executed action in real time, across different industries, without reconstructing the entire decision layer from scratch for each deployment context? This question had not been answered by any existing framework. U-AEDIA is that answer, formalized as a repeatable, domain-agnostic architecture.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Decision-Centric Paradigm</w:t>
      </w:r>
    </w:p>
    <w:p>
      <w:pPr>
        <w:spacing w:before="60" w:after="100" w:line="290"/>
      </w:pPr>
      <w:r>
        <w:rPr>
          <w:rFonts w:ascii="Arial" w:cs="Arial" w:eastAsia="Arial" w:hAnsi="Arial"/>
          <w:b w:val="false"/>
          <w:bCs w:val="false"/>
          <w:color w:val="1A1A1A"/>
          <w:sz w:val="21"/>
          <w:szCs w:val="21"/>
        </w:rPr>
        <w:t xml:space="preserve">The core principle of U-AEDIA is the decision-centric paradigm: the decision, not the data or the model output, is the primary architectural unit. Every other component — ingestion, feature computation, model inference, rule evaluation, workflow execution, and audit recording — is designed to produce one complete, governed decision object as its output.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This is a departure from the analytics-centric framing that dominated enterprise AI at the time: systems produced outputs that humans interpreted and acted on separately. The decision-centric paradigm changes the question from 'what did the model predict?' to 'what decision did the system make, and can you show me the complete record?'</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decision, not the data or model output, is the primary architectural unit. This single design choice is what distinguishes a system that advises from a system that acts — and that can prove what it decided and why.</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Four Architectural Properties</w:t>
      </w:r>
    </w:p>
    <w:p>
      <w:pPr>
        <w:spacing w:before="60" w:after="100" w:line="290"/>
      </w:pPr>
      <w:r>
        <w:rPr>
          <w:rFonts w:ascii="Arial" w:cs="Arial" w:eastAsia="Arial" w:hAnsi="Arial"/>
          <w:b w:val="false"/>
          <w:bCs w:val="false"/>
          <w:color w:val="1A1A1A"/>
          <w:sz w:val="21"/>
          <w:szCs w:val="21"/>
        </w:rPr>
        <w:t xml:space="preserve">Across all implementations, regardless of industry or technical form, the same four properties are present. These are specific architectural decisions, not aspirational design goals.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means in practice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design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decision is the primary architectural unit. The system produces governed decisions with complete audit records, not analytical outputs that humans interpret and act on separately.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Eliminates the human intermediation bottleneck between AI output and operational action. Without it, you have an advisory system. With it, you have a system that acts, and one that can prove what it decided and 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Real-time event-driven processing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All stages — feature computation, model inference, rule evaluation, and decision execution — happen within one latency budget in response to live events. No batch cycles. No handoffs between systems.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Required for any use case where the value of the decision depends on its timing: transaction authorization, clinical triage, industrial safety, real-time procurement.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pipeline orchestration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Every stage operates within a single orchestrated pipeline with defined interface contracts. A single identifier, the Decision Context ID, runs from ingestion through to the completed audit record.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Makes end-to-end audit traceability a structural property rather than something you reconstruct after the fact. Directly satisfies SR 11-7, HIPAA, and EU AI Act auditability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Embedded governance enforcement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Compliance requirements are enforced within the execution pipeline before each action, not applied as post-hoc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Post-hoc governance detection is insufficient in regulated environments. By the time a violation is detected, the action has already executed and may be irreversible.</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Five-Layer Architecture</w:t>
      </w:r>
    </w:p>
    <w:p>
      <w:pPr>
        <w:spacing w:before="60" w:after="100" w:line="290"/>
      </w:pPr>
      <w:r>
        <w:rPr>
          <w:rFonts w:ascii="Arial" w:cs="Arial" w:eastAsia="Arial" w:hAnsi="Arial"/>
          <w:b w:val="false"/>
          <w:bCs w:val="false"/>
          <w:color w:val="1A1A1A"/>
          <w:sz w:val="21"/>
          <w:szCs w:val="21"/>
        </w:rPr>
        <w:t xml:space="preserve">The four properties are implemented through a five-layer architecture. Each layer has a defined responsibility and communicates with adjacent layers through versioned interface contracts.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330"/>
        <w:gridCol w:w="333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Original contribution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Ingestion Gateway</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Schema-validated data acquisition from all source types: streaming events, batch feeds, APIs, sensor streams. Decision Context ID assigned at ingestion.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DCID assignment at ingestion rather than at the decision layer. If assigned downstream, the first processing steps have no trace anchor, making a complete audit trail structurally impossible.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and Knowledge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Feature persistence, entity relationship modeling, organizational context storage. Feature Store online and offline, Knowledge Graph, Entity Resolution.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feature definition registry: computation logic defined once, applied identically to offline training and online serving. Eliminates training-serving skew as a structural property of the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Intelligence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Model inference, feature engineering, continuous monitoring. Multi-model orchestration with task-type routing, unified model registry across classical ML and LLMs.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Multi-model orchestration with task-type routing as a platform-level architecture. Unified lifecycle governance across classical ML and LLMs under one registry.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ML inference with real-time rule evaluation, workflow execution, human-in-loop management, and immutable audit recording, all under a formally specified state machine.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as an architectural category. This construct had not been formalized in any prior framework. Lambda and Kappa have no decision concept. MLOps produces inference and stops. BPM executes workflows but takes no ML input.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Experience and Integration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Exposes decision outputs to all consumer types: synchronous REST, event publication, webhook, dashboard, workflow UI. Human-in-loop oversight and override. Per-client governance configuration.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Making the Decision Object, not raw data or model scores, the primary interface artifact. Consumers receive a structured record of a complete decision.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Orchestration Layer</w:t>
      </w:r>
    </w:p>
    <w:p>
      <w:pPr>
        <w:spacing w:before="60" w:after="100" w:line="290"/>
      </w:pPr>
      <w:r>
        <w:rPr>
          <w:rFonts w:ascii="Arial" w:cs="Arial" w:eastAsia="Arial" w:hAnsi="Arial"/>
          <w:b w:val="false"/>
          <w:bCs w:val="false"/>
          <w:color w:val="1A1A1A"/>
          <w:sz w:val="21"/>
          <w:szCs w:val="21"/>
        </w:rPr>
        <w:t xml:space="preserve">The DOL is the component that had not been formalized as an architectural construct before U-AEDIA introduced it. It sits between intelligence generation and consumer interfaces, and it does something none of the existing frameworks had defined: it takes an inference output and turns it into a governed decision with a complete audit record, automatically, in real time.</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DOL is not an improvement on a prior pattern. It is a new architectural category. The field had inference engines, rules engines, and workflow systems. It had no construct that formally combined all three into a coherent decision lifecycle with deterministic state machine governance and unified audit.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Five specialized components operate inside the DOL under a shared decision context: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is a new construct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inference outputs with business context to produce one deterministic decision outcome. Function: outcome = f(inference scores, rule outcomes, entity context, domain config).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construct to formally model ML inference, entity context, and rule outcomes as inputs to a single deterministic decision. Previously this logic lived in ad hoc application code, inconsistent across implementations and non-auditable.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Rules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Evaluates policy, compliance, and business rules dynamically at decision time, with live ML inference output as a first-class input variable.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Traditional rules engines evaluate logic against entity attributes only. This one receives the current model score as an input, enabling regulatory-aware real-time decisions.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Workflow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Executes multi-step workflows: automated actions, human review routing, downstream API calls, compensating transactions on failure.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workflow execution component designed to take its trigger and parameters directly from a structured Decision Object rather than from an application event or a manual human 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Human-in-Loop Manager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Routes decisions requiring human review with full context, manages SLA timers and escalation chains, captures reviewer decisions back into the audit record.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 review is a formally specified decision path with state machine representation and full audit recording, not an exception handling mechanism added outside the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Audit and Traceability Service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Produces immutable, timestamped audit records for every state transition, stored in a physically separate append-only store.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only component in any enterprise AI framework producing a single unified audit record spanning raw event ingestion through workflow completion, all under one identifier.</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Object</w:t>
      </w:r>
    </w:p>
    <w:p>
      <w:pPr>
        <w:spacing w:before="60" w:after="100" w:line="290"/>
      </w:pPr>
      <w:r>
        <w:rPr>
          <w:rFonts w:ascii="Arial" w:cs="Arial" w:eastAsia="Arial" w:hAnsi="Arial"/>
          <w:b w:val="false"/>
          <w:bCs w:val="false"/>
          <w:color w:val="1A1A1A"/>
          <w:sz w:val="21"/>
          <w:szCs w:val="21"/>
        </w:rPr>
        <w:t xml:space="preserve">Every U-AEDIA implementation produces a Decision Object when a decision completes. This is the canonical record: input event, entity context, feature snapshot at decision time, model versions and outputs, rules evaluated and their results, decision outcome and confidence, decision path selected, workflow actions executed, and audit metadata with a cryptographic integrity hash.</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practical consequence: the question 'why did this system make this decision?' goes from a weeks-long log reconstruction exercise across three systems to a single-second query against an indexed, immutable store. Under Federal Reserve SR 11-7, that is not a performance improvement. It is the difference between being able to satisfy a regulatory examination and not being able to. The same capability is required by HIPAA for clinical AI, by the EU AI Act for high-risk AI systems, and by the NIST AI Risk Management Framework.</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DOL Formal State Machine</w:t>
      </w:r>
    </w:p>
    <w:p>
      <w:pPr>
        <w:spacing w:before="60" w:after="100" w:line="290"/>
      </w:pPr>
      <w:r>
        <w:rPr>
          <w:rFonts w:ascii="Arial" w:cs="Arial" w:eastAsia="Arial" w:hAnsi="Arial"/>
          <w:b w:val="false"/>
          <w:bCs w:val="false"/>
          <w:color w:val="1A1A1A"/>
          <w:sz w:val="21"/>
          <w:szCs w:val="21"/>
        </w:rPr>
        <w:t xml:space="preserve">A formally specified state machine governs all decision lifecycle transitions. States: INITIATED, FEATURE_READY, INFERENCE_COMPLETE, RULES_EVALUATED, AUTOMATED_EXECUTION, HUMAN_REVIEW, DEFERRED, COMPLETE, COMPENSATED. Every state transition is atomic, durable, and produces an immutable audit record. Failure transitions lead to known recovery states.</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No prior framework defined a formal decision state model. Decision lifecycle state was managed implicitly in application-layer code, producing inconsistency across instances, non-auditable partial failures, and no defined recovery path when downstream systems fail after a decision has partially executed.</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COMPENSATED state and compensating transaction architecture make partial execution failures recoverable without leaving downstream systems in inconsistent states. This is the enterprise AI equivalent of database transaction guarantees: a structural property of the system rather than a recovery procedure that depends on human intervention.</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Domain Configuration Package (DCP)</w:t>
      </w:r>
    </w:p>
    <w:p>
      <w:pPr>
        <w:spacing w:before="60" w:after="100" w:line="290"/>
      </w:pPr>
      <w:r>
        <w:rPr>
          <w:rFonts w:ascii="Arial" w:cs="Arial" w:eastAsia="Arial" w:hAnsi="Arial"/>
          <w:b w:val="false"/>
          <w:bCs w:val="false"/>
          <w:color w:val="1A1A1A"/>
          <w:sz w:val="21"/>
          <w:szCs w:val="21"/>
        </w:rPr>
        <w:t xml:space="preserve">A formal parameterization model enabling U-AEDIA to serve as a domain-agnostic framework by externalizing all domain-specific configuration from core architectural components: event schemas, feature definitions and freshness SLAs, model manifests with traffic routing, rule sets with conflict resolution, decision function configuration, workflow definitions per outcome, integration configuration, and compliance configuration.</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Without the DCP, deploying U-AEDIA in a new domain means re-architecting the decision layer from scratch. Prior frameworks — Lambda, Kappa, Data Mesh — achieve reuse at the data processing level but require rebuilding decision logic, ML integration, and workflow execution for each new domain. With the DCP, onboarding a new domain requires authoring a configuration artifact, not modifying any core architectural component.</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DCP is the difference between a professional services model — every client requires custom engineering — and a platform model — clients configure and deploy from a shared architecture. It is what makes commercial deployment at scale possible.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Governance-Embedded Agentic Execution</w:t>
      </w:r>
    </w:p>
    <w:p>
      <w:pPr>
        <w:spacing w:before="60" w:after="100" w:line="290"/>
      </w:pPr>
      <w:r>
        <w:rPr>
          <w:rFonts w:ascii="Arial" w:cs="Arial" w:eastAsia="Arial" w:hAnsi="Arial"/>
          <w:b w:val="false"/>
          <w:bCs w:val="false"/>
          <w:color w:val="1A1A1A"/>
          <w:sz w:val="21"/>
          <w:szCs w:val="21"/>
        </w:rPr>
        <w:t xml:space="preserve">An architectural pattern placing compliance enforcement inside the agent action layer before each execution. Before any agent executes an action, the action is evaluated against compliance policies retrieved from the Enterprise Context Graph. An action failing governance evaluation is blocked before execution. The agent receives the governance failure as a result and adapts its plan or escalates to human oversight.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In 2022 to 2023, agentic AI systems predominantly used post-execution monitoring and observability for compliance. AutoGPT and BabyAGI demonstrated multi-agent task decomposition without enterprise governance. LangChain and LlamaIndex provided per-query document retrieval but no pre-execution governance. Governance-embedded agent execution had not been formalized as an architectural pattern.</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Post-execution governance detection is insufficient in regulated environments. An autonomous agent that executes nineteen compliant steps and one non-compliant step has already caused consequences that may be irreversible. The architectural choice is to prevent before execute, not detect after execute.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Enterprise Context Graph (ECG)</w:t>
      </w:r>
    </w:p>
    <w:p>
      <w:pPr>
        <w:spacing w:before="60" w:after="100" w:line="290"/>
      </w:pPr>
      <w:r>
        <w:rPr>
          <w:rFonts w:ascii="Arial" w:cs="Arial" w:eastAsia="Arial" w:hAnsi="Arial"/>
          <w:b w:val="false"/>
          <w:bCs w:val="false"/>
          <w:color w:val="1A1A1A"/>
          <w:sz w:val="21"/>
          <w:szCs w:val="21"/>
        </w:rPr>
        <w:t xml:space="preserve">The shared organizational intelligence layer that stores business rules, compliance policies, workflow definitions, organizational hierarchies, and historical decisions as a live, queryable knowledge graph accessible to all AI agents before action. The ECG is what makes governance enforcement at each agent action feasible at enterprise scale: organizational context is queryable in memory, enabling sub-millisecond governance checks before each action.</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Prior agent frameworks provided per-query document retrieval. None provided persistent organizational context — the specific gap that HFS Research 2023 identified as unresolved across all 20 enterprise AI service providers assessed.</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Prior Art Analysis: What the Field Had Before U-AEDIA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40"/>
        <w:gridCol w:w="2660"/>
        <w:gridCol w:w="26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2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Decision capability</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U-AEDIA adds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Lambda Architecture (Marz, 2011)</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Scalable data processing via batch and speed layers; low-latency query results over historical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Lambda produces queryable data states. No concept of a decision, no mechanism to evaluate rules against model outputs, no workflow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translates query outputs into governed decisions under a unified audit trail.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Kappa Architecture (Kreps, 2014)</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Single streaming pipeline with reprocessing capability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Real-time data processing is not the same as real-time decision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execution, governance enforcement, and unified audit within the streaming paradigm.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Mesh (Dehghani, 2019)</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Domain-oriented data ownership and self-serve data platform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Defines how data products are owned and shared, not how decisions are made.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intelligence and decision layers that Data Mesh domain products need to generate and act on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MLOps platforms (Kubeflow, MLflow, SageMaker, Vertex AI)</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 model lifecycle: training, versioning, deployment, inference serving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Partial, inference only. Produces model scores but cannot combine them with business rules, route to workflow execution, or produce a unified lifecycle audit record.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completes the decision lifecycle that MLOps begins with inference.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Event-Driven Architecture</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Decoupled service communication via events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architecturally defined. Decision logic is distributed across application-layer services, ad hoc and non-auditable.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formal decision model: what a decision is, how it is structured, what governance it requires, how it is audited.</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How the Framework Was Applied at Each Organization</w:t>
      </w:r>
    </w:p>
    <w:p>
      <w:pPr>
        <w:spacing w:before="60" w:after="100" w:line="290"/>
      </w:pPr>
      <w:r>
        <w:rPr>
          <w:rFonts w:ascii="Arial" w:cs="Arial" w:eastAsia="Arial" w:hAnsi="Arial"/>
          <w:b w:val="false"/>
          <w:bCs w:val="false"/>
          <w:color w:val="1A1A1A"/>
          <w:sz w:val="21"/>
          <w:szCs w:val="21"/>
        </w:rPr>
        <w:t xml:space="preserve">The same four properties appear in all three deployments, but they look different in each one because the problem being solved is genuinely different each time. The consistency of the architectural properties across three materially different contexts is the evidence that this is a framework, not a context-specific engineering solution.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Discover Financial Services (2018)</w:t>
            </w:r>
          </w:p>
        </w:tc>
        <w:tc>
          <w:tcPr>
            <w:tcW w:type="dxa" w:w="238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Teradata Corporation (2020)</w:t>
            </w:r>
          </w:p>
        </w:tc>
        <w:tc>
          <w:tcPr>
            <w:tcW w:type="dxa" w:w="2388"/>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Global Technology Services Firm (2022)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design</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Credit approval or denial, one per event, one governed decision with one audit record.</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Enterprise analytics score for model deployment across independently operated licensees.</w:t>
            </w:r>
          </w:p>
        </w:tc>
        <w:tc>
          <w:tcPr>
            <w:tcW w:type="dxa" w:w="2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Autonomous agent execution decisions, each a governed action with a pre-execution governance check and an agentic audit trail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Real-time event-driven processing</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Sub-150ms credit authorization. Every transaction triggers the full pipeline within the card network SLA.</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Near-real-time model inference triggered by data changes, results available for enterprise consumption without batch delay.</w:t>
            </w:r>
          </w:p>
        </w:tc>
        <w:tc>
          <w:tcPr>
            <w:tcW w:type="dxa" w:w="2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Event-driven agentic workflow execution. Agent coordination managed in real time by the Agentic Orchestration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orchestration</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 layers. Fraud model and credit risk model evaluated together in the Credit Decision Engine, one decision, one audit record.</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Four-layer productization stack where the domain configuration layer ensures all model deployment and governance operates coherently across all licensee environments.</w:t>
            </w:r>
          </w:p>
        </w:tc>
        <w:tc>
          <w:tcPr>
            <w:tcW w:type="dxa" w:w="2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 layers with the Enterprise Context Graph as the shared organizational intelligence layer. All agents query the ECG before acting.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Embedded governance</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SR 11-7, ECOA, FCRA, Regulation B enforced at decision time, not after the fact.</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Model validation gates and champion-challenger promotion rules enforced as structural platform properties, not optional process steps.</w:t>
            </w:r>
          </w:p>
        </w:tc>
        <w:tc>
          <w:tcPr>
            <w:tcW w:type="dxa" w:w="23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Compliance policies enforced at each agent action before execution. Actions failing governance evaluation are blocked, not flagged after they've run.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Quantified Outcomes Directly Attributable to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Magnitude</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Direct architectural cause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Vendor cost elimination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$1.5M annually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Credit Decision Engine replaced third-party vendor dependency for core credit scoring logic. This outcome follows directly from the architectural decision to build in-house.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Fraud loss reduction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Enabled by the architectural decision to receive fraud and credit model outputs within a single orchestration context. The reduction follows from unified orchestration design, not model improvement.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Credit authorization latency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Sub-150ms end-to-end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Sequential API calls to three separate systems consume 60 to 90ms in network overhead alone, exhausting the latency budget before any ML inference runs. A single orchestration context is the only architecture satisfying this constraint.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Cloud ARR growth at Teradata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$124M Q1 2021 to $357M Q4 2022, 188% growth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DCP parameterization pattern made ClearScape Analytics commercially deployable at enterprise scale without custom engineering per client. Revenue scaled with software deployment, not with engineering headcount.</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Independent Adoption</w:t>
      </w:r>
    </w:p>
    <w:p>
      <w:pPr>
        <w:spacing w:before="60" w:after="100" w:line="290"/>
      </w:pPr>
      <w:r>
        <w:rPr>
          <w:rFonts w:ascii="Arial" w:cs="Arial" w:eastAsia="Arial" w:hAnsi="Arial"/>
          <w:b w:val="false"/>
          <w:bCs w:val="false"/>
          <w:color w:val="1A1A1A"/>
          <w:sz w:val="21"/>
          <w:szCs w:val="21"/>
        </w:rPr>
        <w:t xml:space="preserve">Multiple independent organizations with their own engineering teams and access to alternative approaches independently evaluated the available options and chose to adopt implementations of U-AEDIA: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Organization</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Context</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their adoption demonstrates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Affirm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US buy-now-pay-later lender requiring real-time credit decisioning.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An independent fintech with its own engineering capability evaluated alternatives and chose this architecture for a core business-critical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Afterpay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BNPL platform, global transaction approvals.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second independent company in a different market segment made the same technical judgment, confirming the architecture is not Discover-specific.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Upstart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AI-driven personal loan platform.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company whose core competency is AI-driven credit risk, with the capability to build equivalent systems, chose this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Kaiser Permanente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Healthcare, independently licensed and operates Teradata platform.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An independent enterprise in a regulated industry chose to license and independently operate a platform built on U-AEDIA principles.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Verizon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Telecommunications, independently licensed and operates Teradata platform.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second independent enterprise in a different regulated industry made the same choice.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Progressive Insurance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Insurance, independently licensed and operates Teradata platform.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third independent enterprise in a third regulated industry, confirming cross-industry applicability.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General Electric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One of the largest industrial enterprises globally, operating its own industrial AI platform (Predix). Evaluated Palantir Foundry, Databricks, and building an internal system before selecting.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sophisticated technology buyer with its own industrial AI platform and the capability to build alternatives evaluated the market and chose to deploy the U-AEDIA agentic implementation. The strongest possible form of independent validation.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Complete Glossary: All Terms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Where it appears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control plane integrating ML inference, rule evaluation, workflow execution, human-in-loop management, and audit recording into a unified decision lifecycle governed by a deterministic state machine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Discover Credit Decision Engine; Teradata domain configuration layer; third-org Agentic Orchestration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Context ID (DCID)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globally unique identifier assigned at event ingestion and propagated through every downstream component, enabling end-to-end traceability across all five layers under a single identifier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DFS-2 and DFS-4; TDS-2A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Object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canonical structured record produced upon decision completion, capturing the complete lifecycle: input context, feature snapshot, inference results, rules evaluation, decision outcome, and execution record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DFS-2 Credit Decision Object; BPS-2 Agentic Audit Trail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 Configuration Package (DCP)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externalized, versioned configuration artifact that parameterizes U-AEDIA for a specific decision domain, containing event schemas, feature definitions, model manifests, rule sets, decision function configuration, and workflow definitions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Teradata domain configuration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philosophy in which decision-making is treated as a first-class system concern with explicit constructs, formal state machine governance, and unified audit infrastructure, as opposed to treating decisions as emergent outcomes of analytics systems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DFS-2, TDS-2A, BPS-2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Training-Serving Consistency (as architectural guarantee)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Feature Store pattern in which training and inference feature computation share a single versioned feature definition registry, making training-serving consistency a structural property of the system rather than a coordination discipline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DFS-2 Feature Store 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Enterprise Context Graph (ECG)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shared organizational intelligence layer storing business rules, policies, workflow definitions, and historical decisions as a live, queryable knowledge graph accessible to all AI agents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BPS-2, BPS-1, BPS-4; corresponds to Knowledge Graph in U-AEDIA Layer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Agentic Orchestration Engine (AOE)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third-implementation form of the DOL: the architectural layer that coordinates N autonomous agents executing multi-step enterprise workflows under embedded governance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BPS-2, BPS-1, BPS-4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Governance-Embedded Agentic Execution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agentic AI governance pattern in which compliance enforcement is placed inside the agent action layer before execution, not applied as post-hoc monitoring or observability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BPS-4 ADR-002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Ingestion Gateway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standardized, fault-tolerant data entry layer supporting streaming and batch ingestion across heterogeneous sources with schema governance, DCID assignment, and delivery guarantees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equivalent construct in all three implementations</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Reference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Claim</w:t>
            </w:r>
          </w:p>
        </w:tc>
        <w:tc>
          <w:tcPr>
            <w:tcW w:type="dxa" w:w="4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Where to find it</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conceived beginning 2018</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v2 (August 2018); DFS-4 Architecture Decision Records; DFS-1 Architecture Ownership Record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specification; contemporaneous design records; ownership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Discover implementation: first deployment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DFS-2 Platform Architecture Specification; DFS-1 Architecture Ownership Record; Dennis Michel SVP reference letter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spec; ownership record with pre/post state; employer letter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Teradata implementation: second deployment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TDS-2A Platform Architecture Specification; TDS-1A Architecture Ownership Record; James Williams VP reference letter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spec; ownership record; employer letter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Third-organization implementation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BPS-2 Platform Architecture Specification; BPS-1 Architecture Ownership Record; Managing Director reference letter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spec; greenfield origin documentation; employer letter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Affirm, Afterpay, Upstart adoption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Exhibit B (DFS package): Affirm MSA and SOW; DFS-3 Transformation Impact Analysis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External contracts; cross-adoption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Kaiser, Verizon, Progressive independently operating Teradata platform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TDS-2 Platform Architecture and Enterprise Adoption; TDS-4 Architecture Record; James Williams letter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Deployment record; field significance analysis; employer letter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GE deployment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BPS-3 Enterprise Client Deployment Record; GE contract and SOW (Exhibit B, BPS package)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Deployment record; client contract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826 citations, 20 peer-reviewed publications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Standalone Scholarly Record document; Google Scholar publication profile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Independent bibliometric data; publication 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Singular design authority, no co-architect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Dennis Michel letter (Discover); James Williams letter (Teradata); Managing Director letter (third org); DFS-1, TDS-1A, BPS-1 Architecture Ownership Records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Reference letters from direct supervisors; ownership records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DOL construct not previously formalized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U-AEDIA Whitepaper Section prior art analysis; BPS-4 Architecture Decision Records with Gartner, HFS Research, and Forrester citations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prior art analysis; independent analyst citations</w:t>
            </w:r>
          </w:p>
        </w:tc>
      </w:tr>
    </w:tbl>
    <w:p>
      <w:pPr>
        <w:spacing w:before="200" w:after="0"/>
      </w:pPr>
      <w:r>
        <w:t xml:space="preserve"/>
      </w:r>
    </w:p>
    <w:p>
      <w:pPr>
        <w:pBdr>
          <w:top w:val="single" w:color="1A3A5C" w:sz="3"/>
        </w:pBdr>
        <w:spacing w:before="320" w:after="0"/>
      </w:pPr>
      <w:r>
        <w:rPr>
          <w:rFonts w:ascii="Arial" w:cs="Arial" w:eastAsia="Arial" w:hAnsi="Arial"/>
          <w:color w:val="777777"/>
          <w:sz w:val="17"/>
          <w:szCs w:val="17"/>
        </w:rPr>
        <w:t xml:space="preserve">U-AEDIA: Technical Specification and Design Record  |  Mesbaul Haque Sazu  |  Author and Copyright Claimant  |  First Published August 2018, Updated Continuously  |  v5, March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1A1A"/>
      <w:sz w:val="22"/>
      <w:szCs w:val="22"/>
    </w:rPr>
  </w:style>
  <w:style w:type="paragraph" w:styleId="Heading3">
    <w:name w:val="Heading 3"/>
    <w:basedOn w:val="Normal"/>
    <w:next w:val="Normal"/>
    <w:qFormat/>
    <w:pPr>
      <w:spacing w:before="180" w:after="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2026-03-31T07:13:51.158Z</dcterms:created>
  <dcterms:modified xsi:type="dcterms:W3CDTF">2026-03-31T07:13:51.158Z</dcterms:modified>
</cp:coreProperties>
</file>

<file path=docProps/custom.xml><?xml version="1.0" encoding="utf-8"?>
<Properties xmlns="http://schemas.openxmlformats.org/officeDocument/2006/custom-properties" xmlns:vt="http://schemas.openxmlformats.org/officeDocument/2006/docPropsVTypes"/>
</file>