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t xml:space="preserve"/>
      </w:r>
    </w:p>
    <w:p>
      <w:pPr>
        <w:shd w:fill="1A3A5C" w:val="clear"/>
        <w:spacing w:before="0" w:after="0"/>
      </w:pPr>
      <w:r>
        <w:rPr>
          <w:rFonts w:ascii="Arial" w:cs="Arial" w:eastAsia="Arial" w:hAnsi="Arial"/>
          <w:b/>
          <w:bCs/>
          <w:color w:val="FFFFFF"/>
          <w:sz w:val="20"/>
          <w:szCs w:val="20"/>
        </w:rPr>
        <w:t xml:space="preserve">  TECHNICAL SPECIFICATION AND DESIGN RECORD  |  ORIGINAL ARCHITECTURAL FRAMEWORK</w:t>
      </w:r>
    </w:p>
    <w:p>
      <w:pPr>
        <w:spacing w:before="60" w:after="0"/>
      </w:pPr>
      <w:r>
        <w:t xml:space="preserve"/>
      </w:r>
    </w:p>
    <w:p>
      <w:pPr>
        <w:spacing w:before="160" w:after="20" w:line="290"/>
      </w:pPr>
      <w:r>
        <w:rPr>
          <w:rFonts w:ascii="Arial" w:cs="Arial" w:eastAsia="Arial" w:hAnsi="Arial"/>
          <w:b/>
          <w:bCs/>
          <w:color w:val="1A3A5C"/>
          <w:sz w:val="32"/>
          <w:szCs w:val="32"/>
        </w:rPr>
        <w:t xml:space="preserve">UNIFIED AI-DRIVEN ENTERPRISE</w:t>
      </w:r>
    </w:p>
    <w:p>
      <w:pPr>
        <w:spacing w:before="0" w:after="20" w:line="290"/>
      </w:pPr>
      <w:r>
        <w:rPr>
          <w:rFonts w:ascii="Arial" w:cs="Arial" w:eastAsia="Arial" w:hAnsi="Arial"/>
          <w:b/>
          <w:bCs/>
          <w:color w:val="1A3A5C"/>
          <w:sz w:val="32"/>
          <w:szCs w:val="32"/>
        </w:rPr>
        <w:t xml:space="preserve">DECISION INTELLIGENCE ARCHITECTURE</w:t>
      </w:r>
    </w:p>
    <w:p>
      <w:pPr>
        <w:spacing w:before="0" w:after="30" w:line="290"/>
      </w:pPr>
      <w:r>
        <w:rPr>
          <w:rFonts w:ascii="Arial" w:cs="Arial" w:eastAsia="Arial" w:hAnsi="Arial"/>
          <w:b/>
          <w:bCs/>
          <w:color w:val="1A3A5C"/>
          <w:sz w:val="44"/>
          <w:szCs w:val="44"/>
        </w:rPr>
        <w:t xml:space="preserve">U-AEDIA</w:t>
      </w:r>
    </w:p>
    <w:p>
      <w:pPr>
        <w:spacing w:before="0" w:after="10" w:line="290"/>
      </w:pPr>
      <w:r>
        <w:rPr>
          <w:rFonts w:ascii="Arial" w:cs="Arial" w:eastAsia="Arial" w:hAnsi="Arial"/>
          <w:b/>
          <w:bCs/>
          <w:color w:val="1A1A1A"/>
          <w:sz w:val="24"/>
          <w:szCs w:val="24"/>
        </w:rPr>
        <w:t xml:space="preserve">Mesbaul Haque Sazu</w:t>
      </w:r>
    </w:p>
    <w:p>
      <w:pPr>
        <w:spacing w:before="0" w:after="10" w:line="290"/>
      </w:pPr>
      <w:r>
        <w:rPr>
          <w:rFonts w:ascii="Arial" w:cs="Arial" w:eastAsia="Arial" w:hAnsi="Arial"/>
          <w:b w:val="false"/>
          <w:bCs w:val="false"/>
          <w:color w:val="555555"/>
          <w:sz w:val="20"/>
          <w:szCs w:val="20"/>
        </w:rPr>
        <w:t xml:space="preserve">Author, Principal Architect, and Copyright Claimant</w:t>
      </w:r>
    </w:p>
    <w:p>
      <w:pPr>
        <w:spacing w:before="0" w:after="10" w:line="290"/>
      </w:pPr>
      <w:r>
        <w:rPr>
          <w:rFonts w:ascii="Arial" w:cs="Arial" w:eastAsia="Arial" w:hAnsi="Arial"/>
          <w:b w:val="false"/>
          <w:bCs w:val="false"/>
          <w:color w:val="777777"/>
          <w:sz w:val="19"/>
          <w:szCs w:val="19"/>
        </w:rPr>
        <w:t xml:space="preserve">v3  |  Update 1 — Teradata Application  |  June 2020</w:t>
      </w:r>
    </w:p>
    <w:p>
      <w:pPr>
        <w:spacing w:before="0" w:after="80" w:line="290"/>
      </w:pPr>
      <w:r>
        <w:rPr>
          <w:rFonts w:ascii="Arial" w:cs="Arial" w:eastAsia="Arial" w:hAnsi="Arial"/>
          <w:b w:val="false"/>
          <w:bCs w:val="false"/>
          <w:color w:val="777777"/>
          <w:sz w:val="19"/>
          <w:szCs w:val="19"/>
        </w:rPr>
        <w:t xml:space="preserve">Added Domain Configuration Package, multi-tenant architecture, ModelOps governance — Teradata Corporation implementation</w:t>
      </w:r>
    </w:p>
    <w:p>
      <w:pPr>
        <w:pBdr>
          <w:bottom w:val="single" w:color="1A3A5C" w:sz="4"/>
        </w:pBdr>
        <w:spacing w:before="200" w:after="200"/>
      </w:pPr>
      <w:r>
        <w:t xml:space="preserve"/>
      </w:r>
    </w:p>
    <w:p>
      <w:pPr>
        <w:pStyle w:val="Heading1"/>
      </w:pPr>
      <w:r>
        <w:rPr>
          <w:rFonts w:ascii="Arial" w:cs="Arial" w:eastAsia="Arial" w:hAnsi="Arial"/>
        </w:rPr>
        <w:t xml:space="preserve">Overview</w:t>
      </w:r>
    </w:p>
    <w:p>
      <w:pPr>
        <w:spacing w:before="60" w:after="100" w:line="290"/>
      </w:pPr>
      <w:r>
        <w:rPr>
          <w:rFonts w:ascii="Arial" w:cs="Arial" w:eastAsia="Arial" w:hAnsi="Arial"/>
          <w:b w:val="false"/>
          <w:bCs w:val="false"/>
          <w:color w:val="1A1A1A"/>
          <w:sz w:val="21"/>
          <w:szCs w:val="21"/>
        </w:rPr>
        <w:t xml:space="preserve">U-AEDIA, the Unified AI-Driven Enterprise Decision Intelligence Architecture, is an architectural framework I conceived and developed independently starting in 2018. I first applied this framework at Discover Financial Services in 2018, where the challenge was real-time credit decisioning under Federal Reserve SR 11-7 and US consumer credit law. I am now applying the same architectural principles at Teradata Corporation from 2020 onward, productizing enterprise AI analytics into a platform that independent organizations can license and operate themselves across multiple industries.</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This version documents the second application of U-AEDIA and introduces the Domain Configuration Package — the parameterization mechanism that makes the same core framework deployable across materially different industries without re-implementing the decision layer for each.</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Authorship and Original Creation Statement</w:t>
      </w:r>
    </w:p>
    <w:p>
      <w:pPr>
        <w:spacing w:before="60" w:after="100" w:line="290"/>
      </w:pPr>
      <w:r>
        <w:rPr>
          <w:rFonts w:ascii="Arial" w:cs="Arial" w:eastAsia="Arial" w:hAnsi="Arial"/>
          <w:b w:val="false"/>
          <w:bCs w:val="false"/>
          <w:color w:val="1A1A1A"/>
          <w:sz w:val="21"/>
          <w:szCs w:val="21"/>
        </w:rPr>
        <w:t xml:space="preserve">U-AEDIA was independently conceived, designed, and developed by me. This version adds architectural contributions developed during the Teradata Corporation application. All new constructs introduced in this version are original intellectual contributions.</w:t>
      </w:r>
    </w:p>
    <w:p>
      <w:pPr>
        <w:spacing w:before="80" w:after="80"/>
      </w:pPr>
      <w:r>
        <w:t xml:space="preserve"/>
      </w:r>
    </w:p>
    <w:p>
      <w:pPr>
        <w:pStyle w:val="Heading2"/>
      </w:pPr>
      <w:r>
        <w:rPr>
          <w:rFonts w:ascii="Arial" w:cs="Arial" w:eastAsia="Arial" w:hAnsi="Arial"/>
        </w:rPr>
        <w:t xml:space="preserve">Original intellectual contributions in this version (cumulative)</w:t>
      </w:r>
    </w:p>
    <w:p>
      <w:pPr>
        <w:pStyle w:val="ListParagraph"/>
        <w:numPr>
          <w:ilvl w:val="0"/>
          <w:numId w:val="2"/>
        </w:numPr>
        <w:spacing w:before="40" w:after="60" w:line="280"/>
      </w:pPr>
      <w:r>
        <w:rPr>
          <w:rFonts w:ascii="Arial" w:cs="Arial" w:eastAsia="Arial" w:hAnsi="Arial"/>
          <w:color w:val="1A1A1A"/>
          <w:sz w:val="21"/>
          <w:szCs w:val="21"/>
        </w:rPr>
        <w:t xml:space="preserve">Decision Orchestration Layer (DOL) — introduced v2</w:t>
      </w:r>
    </w:p>
    <w:p>
      <w:pPr>
        <w:pStyle w:val="ListParagraph"/>
        <w:numPr>
          <w:ilvl w:val="0"/>
          <w:numId w:val="2"/>
        </w:numPr>
        <w:spacing w:before="40" w:after="60" w:line="280"/>
      </w:pPr>
      <w:r>
        <w:rPr>
          <w:rFonts w:ascii="Arial" w:cs="Arial" w:eastAsia="Arial" w:hAnsi="Arial"/>
          <w:color w:val="1A1A1A"/>
          <w:sz w:val="21"/>
          <w:szCs w:val="21"/>
        </w:rPr>
        <w:t xml:space="preserve">Decision Object Schema — introduced v2</w:t>
      </w:r>
    </w:p>
    <w:p>
      <w:pPr>
        <w:pStyle w:val="ListParagraph"/>
        <w:numPr>
          <w:ilvl w:val="0"/>
          <w:numId w:val="2"/>
        </w:numPr>
        <w:spacing w:before="40" w:after="60" w:line="280"/>
      </w:pPr>
      <w:r>
        <w:rPr>
          <w:rFonts w:ascii="Arial" w:cs="Arial" w:eastAsia="Arial" w:hAnsi="Arial"/>
          <w:color w:val="1A1A1A"/>
          <w:sz w:val="21"/>
          <w:szCs w:val="21"/>
        </w:rPr>
        <w:t xml:space="preserve">DOL Formal State Machine — introduced v2</w:t>
      </w:r>
    </w:p>
    <w:p>
      <w:pPr>
        <w:pStyle w:val="ListParagraph"/>
        <w:numPr>
          <w:ilvl w:val="0"/>
          <w:numId w:val="2"/>
        </w:numPr>
        <w:spacing w:before="40" w:after="60" w:line="280"/>
      </w:pPr>
      <w:r>
        <w:rPr>
          <w:rFonts w:ascii="Arial" w:cs="Arial" w:eastAsia="Arial" w:hAnsi="Arial"/>
          <w:color w:val="1A1A1A"/>
          <w:sz w:val="21"/>
          <w:szCs w:val="21"/>
        </w:rPr>
        <w:t xml:space="preserve">Training-Serving Consistency as an Architectural Guarantee — introduced v2</w:t>
      </w:r>
    </w:p>
    <w:p>
      <w:pPr>
        <w:pStyle w:val="ListParagraph"/>
        <w:numPr>
          <w:ilvl w:val="0"/>
          <w:numId w:val="2"/>
        </w:numPr>
        <w:spacing w:before="40" w:after="60" w:line="280"/>
      </w:pPr>
      <w:r>
        <w:rPr>
          <w:rFonts w:ascii="Arial" w:cs="Arial" w:eastAsia="Arial" w:hAnsi="Arial"/>
          <w:color w:val="1A1A1A"/>
          <w:sz w:val="21"/>
          <w:szCs w:val="21"/>
        </w:rPr>
        <w:t xml:space="preserve">Domain Configuration Package (DCP) — introduced this version: a formal parameterization model externalizing all domain-specific configuration from core architectural components, enabling cross-domain deployment without re-implementation</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Framework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Scope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v1 — Initial Conception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March 2018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paradigm, four architectural properties, foundational problem statement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v2 — First Publication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August 2018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Five-layer architecture, DOL, Decision Object, state machine, DCID, Feature Store, prior art analysis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v3 — Teradata Application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June 2020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Current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Added Domain Configuration Package, multi-tenant model governance, ModelOps governance framework, Teradata implementation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Problem This Framework Addresses</w:t>
      </w:r>
    </w:p>
    <w:p>
      <w:pPr>
        <w:spacing w:before="60" w:after="100" w:line="290"/>
      </w:pPr>
      <w:r>
        <w:rPr>
          <w:rFonts w:ascii="Arial" w:cs="Arial" w:eastAsia="Arial" w:hAnsi="Arial"/>
          <w:b w:val="false"/>
          <w:bCs w:val="false"/>
          <w:color w:val="1A1A1A"/>
          <w:sz w:val="21"/>
          <w:szCs w:val="21"/>
        </w:rPr>
        <w:t xml:space="preserve">Enterprise AI systems fail not because they lack good models or data infrastructure, but because they lack a coherent layer that takes intelligence outputs and translates them into governed, executable, auditable decisions. Every framework available at the time this work began tries to solve parts of this. Lambda handles data at scale. MLOps manages model lifecycle. BPM executes workflows. But none of them connect inference to governed action under a unified audit trail.</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specific problem: how do you take an AI inference output and translate it into a governed, auditable, executed action in real time, across different industries, without reconstructing the entire decision layer from scratch for each deployment context? This question had not been answered by any existing framework. U-AEDIA is that answer, formalized as a repeatable, domain-agnostic architecture.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Decision-Centric Paradigm</w:t>
      </w:r>
    </w:p>
    <w:p>
      <w:pPr>
        <w:spacing w:before="60" w:after="100" w:line="290"/>
      </w:pPr>
      <w:r>
        <w:rPr>
          <w:rFonts w:ascii="Arial" w:cs="Arial" w:eastAsia="Arial" w:hAnsi="Arial"/>
          <w:b w:val="false"/>
          <w:bCs w:val="false"/>
          <w:color w:val="1A1A1A"/>
          <w:sz w:val="21"/>
          <w:szCs w:val="21"/>
        </w:rPr>
        <w:t xml:space="preserve">The core principle of U-AEDIA is the decision-centric paradigm: the decision, not the data or the model output, is the primary architectural unit. Every other component — ingestion, feature computation, model inference, rule evaluation, workflow execution, and audit recording — is designed to produce one complete, governed decision object as its output.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This is a departure from the analytics-centric framing that dominated enterprise AI at the time: systems produced outputs that humans interpreted and acted on separately. The decision-centric paradigm changes the question from 'what did the model predict?' to 'what decision did the system make, and can you show me the complete record?'</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decision, not the data or model output, is the primary architectural unit. This single design choice is what distinguishes a system that advises from a system that acts — and that can prove what it decided and why.</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Four Architectural Properties</w:t>
      </w:r>
    </w:p>
    <w:p>
      <w:pPr>
        <w:spacing w:before="60" w:after="100" w:line="290"/>
      </w:pPr>
      <w:r>
        <w:rPr>
          <w:rFonts w:ascii="Arial" w:cs="Arial" w:eastAsia="Arial" w:hAnsi="Arial"/>
          <w:b w:val="false"/>
          <w:bCs w:val="false"/>
          <w:color w:val="1A1A1A"/>
          <w:sz w:val="21"/>
          <w:szCs w:val="21"/>
        </w:rPr>
        <w:t xml:space="preserve">Across all implementations, regardless of industry or technical form, the same four properties are present. These are specific architectural decisions, not aspirational design goals.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means in practice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design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decision is the primary architectural unit. The system produces governed decisions with complete audit records, not analytical outputs that humans interpret and act on separately.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Eliminates the human intermediation bottleneck between AI output and operational action. Without it, you have an advisory system. With it, you have a system that acts, and one that can prove what it decided and 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Real-time event-driven processing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All stages — feature computation, model inference, rule evaluation, and decision execution — happen within one latency budget in response to live events. No batch cycles. No handoffs between systems.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Required for any use case where the value of the decision depends on its timing: transaction authorization, clinical triage, industrial safety, real-time procurement.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pipeline orchestration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Every stage operates within a single orchestrated pipeline with defined interface contracts. A single identifier, the Decision Context ID, runs from ingestion through to the completed audit record.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Makes end-to-end audit traceability a structural property rather than something you reconstruct after the fact. Directly satisfies SR 11-7, HIPAA, and EU AI Act auditability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Embedded governance enforcement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Compliance requirements are enforced within the execution pipeline before each action, not applied as post-hoc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Post-hoc governance detection is insufficient in regulated environments. By the time a violation is detected, the action has already executed and may be irreversible.</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Five-Layer Architecture</w:t>
      </w:r>
    </w:p>
    <w:p>
      <w:pPr>
        <w:spacing w:before="60" w:after="100" w:line="290"/>
      </w:pPr>
      <w:r>
        <w:rPr>
          <w:rFonts w:ascii="Arial" w:cs="Arial" w:eastAsia="Arial" w:hAnsi="Arial"/>
          <w:b w:val="false"/>
          <w:bCs w:val="false"/>
          <w:color w:val="1A1A1A"/>
          <w:sz w:val="21"/>
          <w:szCs w:val="21"/>
        </w:rPr>
        <w:t xml:space="preserve">The four properties are implemented through a five-layer architecture. Each layer has a defined responsibility and communicates with adjacent layers through versioned interface contracts.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330"/>
        <w:gridCol w:w="333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Original contribution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Ingestion Gateway</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Schema-validated data acquisition from all source types: streaming events, batch feeds, APIs, sensor streams. Decision Context ID assigned at ingestion.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DCID assignment at ingestion rather than at the decision layer. If assigned downstream, the first processing steps have no trace anchor, making a complete audit trail structurally impossible.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Data and Knowledge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Feature persistence, entity relationship modeling, organizational context storage. Feature Store online and offline, Knowledge Graph, Entity Resolution.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feature definition registry: computation logic defined once, applied identically to offline training and online serving. Eliminates training-serving skew as a structural property of the 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Intelligence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Model inference, feature engineering, continuous monitoring. Multi-model orchestration with task-type routing, unified model registry across classical ML and LLMs.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Multi-model orchestration with task-type routing as a platform-level architecture. Unified lifecycle governance across classical ML and LLMs under one registry.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Orchestration Layer (DOL)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Integrates ML inference with real-time rule evaluation, workflow execution, human-in-loop management, and immutable audit recording, all under a formally specified state machine.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as an architectural category. This construct had not been formalized in any prior framework. Lambda and Kappa have no decision concept. MLOps produces inference and stops. BPM executes workflows but takes no ML input.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Experience and Integration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Exposes decision outputs to all consumer types: synchronous REST, event publication, webhook, dashboard, workflow UI. Human-in-loop oversight and override. Per-client governance configuration.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Making the Decision Object, not raw data or model scores, the primary interface artifact. Consumers receive a structured record of a complete decision.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 Orchestration Layer</w:t>
      </w:r>
    </w:p>
    <w:p>
      <w:pPr>
        <w:spacing w:before="60" w:after="100" w:line="290"/>
      </w:pPr>
      <w:r>
        <w:rPr>
          <w:rFonts w:ascii="Arial" w:cs="Arial" w:eastAsia="Arial" w:hAnsi="Arial"/>
          <w:b w:val="false"/>
          <w:bCs w:val="false"/>
          <w:color w:val="1A1A1A"/>
          <w:sz w:val="21"/>
          <w:szCs w:val="21"/>
        </w:rPr>
        <w:t xml:space="preserve">The DOL is the component that had not been formalized as an architectural construct before U-AEDIA introduced it. It sits between intelligence generation and consumer interfaces, and it does something none of the existing frameworks had defined: it takes an inference output and turns it into a governed decision with a complete audit record, automatically, in real time.</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DOL is not an improvement on a prior pattern. It is a new architectural category. The field had inference engines, rules engines, and workflow systems. It had no construct that formally combined all three into a coherent decision lifecycle with deterministic state machine governance and unified audit.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Five specialized components operate inside the DOL under a shared decision context: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is a new construct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Integrates inference outputs with business context to produce one deterministic decision outcome. Function: outcome = f(inference scores, rule outcomes, entity context, domain config).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First construct to formally model ML inference, entity context, and rule outcomes as inputs to a single deterministic decision. Previously this logic lived in ad hoc application code, inconsistent across implementations and non-auditable.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Rules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Evaluates policy, compliance, and business rules dynamically at decision time, with live ML inference output as a first-class input variable.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Traditional rules engines evaluate logic against entity attributes only. This one receives the current model score as an input, enabling regulatory-aware real-time decisions.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Workflow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Executes multi-step workflows: automated actions, human review routing, downstream API calls, compensating transactions on failure.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First workflow execution component designed to take its trigger and parameters directly from a structured Decision Object rather than from an application event or a manual human 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Human-in-Loop Manager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Routes decisions requiring human review with full context, manages SLA timers and escalation chains, captures reviewer decisions back into the audit record.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Human review is a formally specified decision path with state machine representation and full audit recording, not an exception handling mechanism added outside the 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Audit and Traceability Service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Produces immutable, timestamped audit records for every state transition, stored in a physically separate append-only store.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only component in any enterprise AI framework producing a single unified audit record spanning raw event ingestion through workflow completion, all under one identifier.</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 Object</w:t>
      </w:r>
    </w:p>
    <w:p>
      <w:pPr>
        <w:spacing w:before="60" w:after="100" w:line="290"/>
      </w:pPr>
      <w:r>
        <w:rPr>
          <w:rFonts w:ascii="Arial" w:cs="Arial" w:eastAsia="Arial" w:hAnsi="Arial"/>
          <w:b w:val="false"/>
          <w:bCs w:val="false"/>
          <w:color w:val="1A1A1A"/>
          <w:sz w:val="21"/>
          <w:szCs w:val="21"/>
        </w:rPr>
        <w:t xml:space="preserve">Every U-AEDIA implementation produces a Decision Object when a decision completes. This is the canonical record: input event, entity context, feature snapshot at decision time, model versions and outputs, rules evaluated and their results, decision outcome and confidence, decision path selected, workflow actions executed, and audit metadata with a cryptographic integrity hash.</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practical consequence: the question 'why did this system make this decision?' goes from a weeks-long log reconstruction exercise across three systems to a single-second query against an indexed, immutable store. Under Federal Reserve SR 11-7, that is not a performance improvement. It is the difference between being able to satisfy a regulatory examination and not being able to. The same capability is required by HIPAA for clinical AI, by the EU AI Act for high-risk AI systems, and by the NIST AI Risk Management Framework.</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DOL Formal State Machine</w:t>
      </w:r>
    </w:p>
    <w:p>
      <w:pPr>
        <w:spacing w:before="60" w:after="100" w:line="290"/>
      </w:pPr>
      <w:r>
        <w:rPr>
          <w:rFonts w:ascii="Arial" w:cs="Arial" w:eastAsia="Arial" w:hAnsi="Arial"/>
          <w:b w:val="false"/>
          <w:bCs w:val="false"/>
          <w:color w:val="1A1A1A"/>
          <w:sz w:val="21"/>
          <w:szCs w:val="21"/>
        </w:rPr>
        <w:t xml:space="preserve">A formally specified state machine governs all decision lifecycle transitions. States: INITIATED, FEATURE_READY, INFERENCE_COMPLETE, RULES_EVALUATED, AUTOMATED_EXECUTION, HUMAN_REVIEW, DEFERRED, COMPLETE, COMPENSATED. Every state transition is atomic, durable, and produces an immutable audit record. Failure transitions lead to known recovery states.</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No prior framework defined a formal decision state model. Decision lifecycle state was managed implicitly in application-layer code, producing inconsistency across instances, non-auditable partial failures, and no defined recovery path when downstream systems fail after a decision has partially executed.</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COMPENSATED state and compensating transaction architecture make partial execution failures recoverable without leaving downstream systems in inconsistent states. This is the enterprise AI equivalent of database transaction guarantees: a structural property of the system rather than a recovery procedure that depends on human intervention.</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Domain Configuration Package (DCP)</w:t>
      </w:r>
    </w:p>
    <w:p>
      <w:pPr>
        <w:spacing w:before="60" w:after="100" w:line="290"/>
      </w:pPr>
      <w:r>
        <w:rPr>
          <w:rFonts w:ascii="Arial" w:cs="Arial" w:eastAsia="Arial" w:hAnsi="Arial"/>
          <w:b w:val="false"/>
          <w:bCs w:val="false"/>
          <w:color w:val="1A1A1A"/>
          <w:sz w:val="21"/>
          <w:szCs w:val="21"/>
        </w:rPr>
        <w:t xml:space="preserve">A formal parameterization model enabling U-AEDIA to serve as a domain-agnostic framework by externalizing all domain-specific configuration from core architectural components: event schemas, feature definitions and freshness SLAs, model manifests with traffic routing, rule sets with conflict resolution, decision function configuration, workflow definitions per outcome, integration configuration, and compliance configuration.</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Without the DCP, deploying U-AEDIA in a new domain means re-architecting the decision layer from scratch. Prior frameworks — Lambda, Kappa, Data Mesh — achieve reuse at the data processing level but require rebuilding decision logic, ML integration, and workflow execution for each new domain. With the DCP, onboarding a new domain requires authoring a configuration artifact, not modifying any core architectural component.</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DCP is the difference between a professional services model — every client requires custom engineering — and a platform model — clients configure and deploy from a shared architecture. It is what makes commercial deployment at scale possible.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Prior Art Analysis: What the Field Had Before U-AEDIA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40"/>
        <w:gridCol w:w="2660"/>
        <w:gridCol w:w="26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2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Decision capability</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U-AEDIA adds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Lambda Architecture (Marz, 2011)</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Scalable data processing via batch and speed layers; low-latency query results over historical 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Lambda produces queryable data states. No concept of a decision, no mechanism to evaluate rules against model outputs, no workflow execution.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translates query outputs into governed decisions under a unified audit trail.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Kappa Architecture (Kreps, 2014)</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Single streaming pipeline with reprocessing capability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Real-time data processing is not the same as real-time decision execution.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execution, governance enforcement, and unified audit within the streaming paradigm.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Data Mesh (Dehghani, 2019)</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Domain-oriented data ownership and self-serve data platform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Defines how data products are owned and shared, not how decisions are made.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intelligence and decision layers that Data Mesh domain products need to generate and act on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MLOps platforms (Kubeflow, MLflow, SageMaker, Vertex AI)</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ML model lifecycle: training, versioning, deployment, inference serving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Partial, inference only. Produces model scores but cannot combine them with business rules, route to workflow execution, or produce a unified lifecycle audit record.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completes the decision lifecycle that MLOps begins with inference.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Event-Driven Architecture</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Decoupled service communication via events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architecturally defined. Decision logic is distributed across application-layer services, ad hoc and non-auditable.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formal decision model: what a decision is, how it is structured, what governance it requires, how it is audited.</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First Application: Discover Financial Services (2018 to 2020)</w:t>
      </w:r>
    </w:p>
    <w:p>
      <w:pPr>
        <w:spacing w:before="60" w:after="100" w:line="290"/>
      </w:pPr>
      <w:r>
        <w:rPr>
          <w:rFonts w:ascii="Arial" w:cs="Arial" w:eastAsia="Arial" w:hAnsi="Arial"/>
          <w:b w:val="false"/>
          <w:bCs w:val="false"/>
          <w:color w:val="1A1A1A"/>
          <w:sz w:val="21"/>
          <w:szCs w:val="21"/>
        </w:rPr>
        <w:t xml:space="preserve">The Discover credit analytics platform is the first production implementation of U-AEDIA. Three independent fintechs — Affirm, Afterpay, and Upstart — contracted separately for implementations of the same credit decisioning architecture during this period, confirming commercial value beyond the originating organization.</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Second Application: Teradata Corporation (2020 to 2022)</w:t>
      </w:r>
    </w:p>
    <w:p>
      <w:pPr>
        <w:spacing w:before="60" w:after="100" w:line="290"/>
      </w:pPr>
      <w:r>
        <w:rPr>
          <w:rFonts w:ascii="Arial" w:cs="Arial" w:eastAsia="Arial" w:hAnsi="Arial"/>
          <w:b w:val="false"/>
          <w:bCs w:val="false"/>
          <w:color w:val="1A1A1A"/>
          <w:sz w:val="21"/>
          <w:szCs w:val="21"/>
        </w:rPr>
        <w:t xml:space="preserve">The Teradata implementation solved a different version of the same core problem: how do you take a framework designed for one domain and make it deployable across materially different industries — healthcare, telecommunications, insurance — without rebuilding the decision layer for each? The answer is the Domain Configuration Package.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May 2020 to May 2022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Product Architect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Productize enterprise AI analytics into a platform independent enterprises can license and operate across industries without custom builds per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Technical 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Four-layer productization stack; domain configuration layer as the parameterization mechanism; ModelOps as the governance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Industries served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Healthcare, telecommunications, insurance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Kaiser Permanente, Verizon, Progressive Insurance each independently operating the platform; $357M cloud ARR by Q4 2022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New contribution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Domain Configuration Package, multi-tenant model governance, ModelOps governance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What it demonstrated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DCP parameterization pattern works across healthcare, telecom, and insurance without modifying core architectural components</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Quantified Outcomes Directly Attributable to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Magnitude</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Direct architectural cause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Vendor cost elimination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$1.5M annually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Credit Decision Engine replaced third-party vendor dependency for core credit scoring logic. This outcome follows directly from the architectural decision to build in-house.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Fraud loss reduction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Enabled by the architectural decision to receive fraud and credit model outputs within a single orchestration context. The reduction follows from unified orchestration design, not model improvement.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Credit authorization latency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Sub-150ms end-to-end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Sequential API calls to three separate systems consume 60 to 90ms in network overhead alone, exhausting the latency budget before any ML inference runs. A single orchestration context is the only architecture satisfying this constraint.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Cloud ARR growth at Teradata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$124M Q1 2021 to $357M Q4 2022, 188% growth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DCP parameterization pattern made ClearScape Analytics commercially deployable at enterprise scale without custom engineering per client. Revenue scaled with software deployment, not with engineering headcount.</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Glossary: Terms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Orchestration Layer (DOL)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architectural control plane integrating ML inference, rule evaluation, workflow execution, human-in-loop management, and audit recording into a unified decision lifecycle governed by a deterministic state machine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Context ID (DCID)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globally unique identifier assigned at event ingestion and propagated through every downstream component, enabling end-to-end traceability across all five layers under a single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Object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canonical structured record produced upon decision completion, capturing the complete lifecycle: input context, feature snapshot, inference results, rules evaluation, decision outcome, and execution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Paradigm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architectural philosophy in which decision-making is treated as a first-class system concern with explicit constructs, formal state machine governance, and unified audit infrastructure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Training-Serving Consistency (as architectural guarantee)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Feature Store pattern in which training and inference feature computation share a single versioned feature definition registry, making training-serving consistency a structural property of the system</w:t>
            </w:r>
          </w:p>
        </w:tc>
      </w:tr>
    </w:tbl>
    <w:p>
      <w:pPr>
        <w:spacing w:before="80" w:after="80"/>
      </w:pPr>
      <w:r>
        <w:t xml:space="preserve"/>
      </w:r>
    </w:p>
    <w:p>
      <w:pPr>
        <w:pBdr>
          <w:bottom w:val="single" w:color="1A3A5C" w:sz="4"/>
        </w:pBdr>
        <w:spacing w:before="200" w:after="200"/>
      </w:pPr>
      <w:r>
        <w:t xml:space="preserve"/>
      </w:r>
    </w:p>
    <w:p>
      <w:pPr>
        <w:pStyle w:val="Heading2"/>
      </w:pPr>
      <w:r>
        <w:rPr>
          <w:rFonts w:ascii="Arial" w:cs="Arial" w:eastAsia="Arial" w:hAnsi="Arial"/>
        </w:rPr>
        <w:t xml:space="preserve">Terms Added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Domain Configuration Package (DCP)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externalized, versioned configuration artifact that parameterizes U-AEDIA for a specific decision domain, containing event schemas, feature definitions, model manifests, rule sets, decision function configuration, and workflow definitions</w:t>
            </w:r>
          </w:p>
        </w:tc>
      </w:tr>
    </w:tbl>
    <w:p>
      <w:pPr>
        <w:spacing w:before="80" w:after="80"/>
      </w:pPr>
      <w:r>
        <w:t xml:space="preserve"/>
      </w:r>
    </w:p>
    <w:p>
      <w:pPr>
        <w:pBdr>
          <w:bottom w:val="single" w:color="1A3A5C" w:sz="4"/>
        </w:pBdr>
        <w:spacing w:before="200" w:after="200"/>
      </w:pPr>
      <w:r>
        <w:t xml:space="preserve"/>
      </w:r>
    </w:p>
    <w:p>
      <w:pPr>
        <w:spacing w:before="200" w:after="0"/>
      </w:pPr>
      <w:r>
        <w:t xml:space="preserve"/>
      </w:r>
    </w:p>
    <w:p>
      <w:pPr>
        <w:pBdr>
          <w:top w:val="single" w:color="1A3A5C" w:sz="3"/>
        </w:pBdr>
        <w:spacing w:before="320" w:after="0"/>
      </w:pPr>
      <w:r>
        <w:rPr>
          <w:rFonts w:ascii="Arial" w:cs="Arial" w:eastAsia="Arial" w:hAnsi="Arial"/>
          <w:color w:val="777777"/>
          <w:sz w:val="17"/>
          <w:szCs w:val="17"/>
        </w:rPr>
        <w:t xml:space="preserve">U-AEDIA: Technical Specification and Design Record  |  Mesbaul Haque Sazu  |  Author and Copyright Claimant  |  v3, June 2020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5C"/>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A1A1A"/>
      <w:sz w:val="22"/>
      <w:szCs w:val="22"/>
    </w:rPr>
  </w:style>
  <w:style w:type="paragraph" w:styleId="Heading3">
    <w:name w:val="Heading 3"/>
    <w:basedOn w:val="Normal"/>
    <w:next w:val="Normal"/>
    <w:qFormat/>
    <w:pPr>
      <w:spacing w:before="180" w:after="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2026-03-31T07:13:51.114Z</dcterms:created>
  <dcterms:modified xsi:type="dcterms:W3CDTF">2026-03-31T07:13:51.114Z</dcterms:modified>
</cp:coreProperties>
</file>

<file path=docProps/custom.xml><?xml version="1.0" encoding="utf-8"?>
<Properties xmlns="http://schemas.openxmlformats.org/officeDocument/2006/custom-properties" xmlns:vt="http://schemas.openxmlformats.org/officeDocument/2006/docPropsVTypes"/>
</file>