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3460"/>
          <w:sz w:val="72"/>
          <w:szCs w:val="72"/>
        </w:rPr>
        <w:t xml:space="preserve">U-AEDIA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6213E"/>
          <w:sz w:val="28"/>
          <w:szCs w:val="28"/>
        </w:rPr>
        <w:t xml:space="preserve">Unified AI-Driven Enterprise Decision Intelligence Architecture</w:t>
      </w:r>
    </w:p>
    <w:p>
      <w:pPr>
        <w:pBdr>
          <w:bottom w:val="single" w:color="0F3460" w:sz="8"/>
        </w:pBdr>
        <w:spacing w:after="36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3460"/>
          <w:sz w:val="48"/>
          <w:szCs w:val="48"/>
        </w:rPr>
        <w:t xml:space="preserve">v4.0 - Enterprise Analytics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Second Application: Multi-Tenant Cross-Industry Analytics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DCP parameterization pattern at commercial scale across independent enterprise licensees</w:t>
      </w:r>
    </w:p>
    <w:p>
      <w:pPr>
        <w:pBdr>
          <w:bottom w:val="single" w:color="CCCCCC" w:sz="2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Mesbaul Haque Sazu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Author and Principal Architect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Case Western Reserve University</w:t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September 12, 2020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Document Status: Production Deployment</w:t>
      </w:r>
    </w:p>
    <w:p>
      <w:pPr>
        <w:spacing w:after="16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All architectural constructs, design patterns, and terminology described herein are original intellectual contributions of the author. This framework was independently conceived and developed beginning in 2018.</w:t>
      </w:r>
    </w:p>
    <w:p>
      <w:r>
        <w:br w:type="page"/>
      </w:r>
    </w:p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1. THIS VERSION IN CONTEXT</w:t>
      </w:r>
    </w:p>
    <w:p>
      <w:pPr>
        <w:spacing w:after="22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v4.0 documents the second production application of U-AEDIA: a multi-tenant enterprise analytics platform deployed from 2020 across independent enterprise licensees in healthcare, telecommunications, and insurance. The central architectural challenge was different from v2.0: where v2.0 required satisfying a single organization's regulatory constraints in real time, v4.0 required deploying the same core platform across organizations with materially different regulatory environments, operational constraints, and domain-specific requirements -- without custom engineering per licensee.</w:t>
      </w:r>
    </w:p>
    <w:p>
      <w:pPr>
        <w:spacing w:after="22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This is the problem the Domain Configuration Package was designed to solve. v4.0 is where that design was validated at commercial scale.</w:t>
      </w:r>
    </w:p>
    <w:p>
      <w:pPr>
        <w:pBdr>
          <w:left w:val="thick" w:color="0F3460" w:sz="12"/>
        </w:pBdr>
        <w:spacing w:before="160" w:after="160" w:line="340"/>
        <w:ind w:left="480" w:right="240"/>
        <w:jc w:val="both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Foundation from v3.0: The five-layer architecture, the DOL, the Decision Object, and the formal state machine are unchanged. v4.0 extends the framework with the DCP multi-tenant architecture, champion-challenger model governance, and the ModelOps framework.</w:t>
      </w:r>
    </w:p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2. THE PLATFORM ARCHITECTURE PROBLEM</w:t>
      </w:r>
    </w:p>
    <w:p>
      <w:pPr>
        <w:spacing w:after="22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An enterprise analytics platform serving independent licensees across multiple industries faces a specific commercial and architectural tension: each licensee operates in a different regulatory environment, uses different domain-specific data schemas, requires different model governance frameworks, and has different workflow definitions. Building custom implementations for each licensee is a professional services model -- revenue scales with engineering headcount, not with software deployment.</w:t>
      </w:r>
    </w:p>
    <w:p>
      <w:pPr>
        <w:spacing w:after="22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The U-AEDIA framework resolves this tension through the Domain Configuration Package. The DCP externalizes all domain-specific configuration from core architectural components. The same core platform engine serves every licensee. What changes per licensee is the DCP artifact.</w:t>
      </w:r>
    </w:p>
    <w:p>
      <w:pPr>
        <w:spacing w:after="100"/>
      </w:pPr>
      <w:r>
        <w:t xml:space="preserve"/>
      </w:r>
    </w:p>
    <w:p>
      <w:pPr>
        <w:spacing w:before="200" w:after="16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fig_dcp" descr="fig_dcp" title="fig_d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 The Domain Configuration Package architecture. One core engine. One DCP per domain. Zero core re-implementation when onboarding a new domain.</w:t>
      </w:r>
    </w:p>
    <w:p>
      <w:pPr>
        <w:spacing w:before="300" w:after="1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The DCP Parameterization Pattern</w:t>
      </w:r>
    </w:p>
    <w:p>
      <w:pPr>
        <w:shd w:fill="F4F4F4" w:val="clear"/>
        <w:spacing w:before="120" w:after="120" w:line="3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Domain Configuration Package (DCP) schema (conceptual):
{
  "dcp_id": "healthcare-platform-v3.2",
  "dcp_version": "3.2.0",
  "domain": "healthcare",
  "event_schemas": {
    "patient_admission": { "fields": [...], "validation_rules": [...] }
  },
  "feature_definitions": [
    { "feature_id": "patient_risk_score", "fn_ref": "compute_risk_v2", "freshness_sla_ms": 1000 }
  ],
  "model_manifests": [
    { "model_id": "readmission_risk_v4", "version": "4.1.0", "champion_traffic_pct": 90 },
    { "model_id": "readmission_risk_v5", "version": "5.0.0-beta", "challenger_traffic_pct": 10 }
  ],
  "compliance_config": { "frameworks": ["HIPAA", "FDA_AI_ML"], "audit_retention_days": 2555 },
  "decision_fn_config": { "outcomes": ["DISCHARGE", "CONTINUE", "ESCALATE"] },
  "workflow_defs": { "ESCALATE": ["notify_attending", "create_care_plan", "log_audit_record"] }
}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2. DCP schema (conceptual). Substituting this artifact for a different domain requires no modification to any core platform component.</w:t>
      </w:r>
    </w:p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 CHAMPION-CHALLENGER MODEL GOVERNANCE</w:t>
      </w:r>
    </w:p>
    <w:p>
      <w:pPr>
        <w:spacing w:after="22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The multi-tenant platform required a model governance architecture that could satisfy each licensee's regulatory requirements independently without cross-licensee interference.</w:t>
      </w:r>
    </w:p>
    <w:p>
      <w:pPr>
        <w:spacing w:after="80"/>
      </w:pPr>
      <w:r>
        <w:t xml:space="preserve"/>
      </w:r>
    </w:p>
    <w:p>
      <w:pPr>
        <w:spacing w:before="200" w:after="160"/>
        <w:jc w:val="center"/>
      </w:pPr>
      <w:r>
        <w:drawing>
          <wp:inline distT="0" distB="0" distL="0" distR="0">
            <wp:extent cx="5905500" cy="3419475"/>
            <wp:effectExtent t="0" r="0" b="0" l="0"/>
            <wp:docPr id="1" name="fig_analytics_platform" descr="fig_analytics_platform" title="fig_analytics_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3. The enterprise analytics platform architecture. Each licensee operates under their own DCP. Champion-challenger routing is per-licensee and isolated.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350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provides</w:t>
            </w:r>
          </w:p>
        </w:tc>
        <w:tc>
          <w:tcPr>
            <w:tcW w:type="dxa" w:w="366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Regulatory significance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Champion-challenger routing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Configurable traffic split between validated champion and candidate challenger model. Default: 90% champion / 10% challenger.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Enables new model validation against live production traffic without exposing the full population to an unvalidated model.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Semantic versioning</w:t>
            </w:r>
          </w:p>
        </w:tc>
        <w:tc>
          <w:tcPr>
            <w:tcW w:type="dxa" w:w="35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Explicit version identifiers for every deployed model. Decision Object stores model version at inference time.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Enables audit reconstruction at any future point: which model version produced which decision.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Automated drift detection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Statistical monitoring of inference distribution against training baseline. Alerts when model behavior departs from validated envelope.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Satisfies ongoing model performance monitoring requirements in credit AI and clinical AI governance.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Controlled promotion</w:t>
            </w:r>
          </w:p>
        </w:tc>
        <w:tc>
          <w:tcPr>
            <w:tcW w:type="dxa" w:w="35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Champion promotion from challenger requires meeting configurable performance gates over minimum traffic volume.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Prevents premature deployment of undertested models. Audit trail of promotion decision and gates met.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Rollback with audit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Instantaneous rollback to previous champion version with full audit record of rollback decision.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Enables rapid response to model degradation without leaving a gap in decision records.</w:t>
            </w:r>
          </w:p>
        </w:tc>
      </w:tr>
    </w:tbl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 MODELOPS GOVERNANCE FRAMEWORK</w:t>
      </w:r>
    </w:p>
    <w:p>
      <w:pPr>
        <w:shd w:fill="F4F4F4" w:val="clear"/>
        <w:spacing w:before="120" w:after="120" w:line="3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ModelOps Lifecycle Stages (conceptual):
  REGISTERED &gt; VALIDATED &gt; STAGED &gt; CHALLENGER &gt; CHAMPION &gt; RETIRED
  REGISTERED:   Model artifact uploaded; metadata schema validated
  VALIDATED:    Performance metrics meet domain thresholds;
                feature alignment verified against unified registry;
                explainability metrics computed (SHAP baseline)
  STAGED:       Integration testing against domain DCP;
                latency profiling under simulated load
  CHALLENGER:   Live traffic routing begins (configurable %);
                real-time performance monitoring vs. champion
  CHAMPION:     Full production traffic; ongoing monitoring active
  RETIRED:      Traffic routing to zero; audit records preserved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4. ModelOps lifecycle stages. Every transition produces a governance record.</w:t>
      </w:r>
    </w:p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5. CROSS-INDUSTRY VALIDATION OF DCP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c>
          <w:tcPr>
            <w:tcW w:type="dxa" w:w="160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240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Regulatory framework in DCP</w:t>
            </w:r>
          </w:p>
        </w:tc>
        <w:tc>
          <w:tcPr>
            <w:tcW w:type="dxa" w:w="320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Domain-specific configuration</w:t>
            </w:r>
          </w:p>
        </w:tc>
        <w:tc>
          <w:tcPr>
            <w:tcW w:type="dxa" w:w="2160"/>
            <w:shd w:fill="0F346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Core engine modification required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Healthcare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HIPAA, FDA AI/ML guidance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Clinical event schemas, care pathway decision outcomes, human-in-loop mandatory for certain decision types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</w:t>
            </w:r>
          </w:p>
        </w:tc>
      </w:tr>
      <w:tr>
        <w:tc>
          <w:tcPr>
            <w:tcW w:type="dxa" w:w="16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Telecommunications</w:t>
            </w:r>
          </w:p>
        </w:tc>
        <w:tc>
          <w:tcPr>
            <w:tcW w:type="dxa" w:w="24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FCC regulations, network SLA requirements</w:t>
            </w:r>
          </w:p>
        </w:tc>
        <w:tc>
          <w:tcPr>
            <w:tcW w:type="dxa" w:w="320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Network event schemas, service provisioning decision outcomes, near-real-time latency requirements</w:t>
            </w:r>
          </w:p>
        </w:tc>
        <w:tc>
          <w:tcPr>
            <w:tcW w:type="dxa" w:w="2160"/>
            <w:shd w:fill="F8FAFC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Insurance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State insurance regulations, actuarial standards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Policy event schemas, underwriting decision outcomes, actuarial model manifests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</w:t>
            </w:r>
          </w:p>
        </w:tc>
      </w:tr>
    </w:tbl>
    <w:p>
      <w:pPr>
        <w:pBdr>
          <w:left w:val="thick" w:color="0F3460" w:sz="12"/>
        </w:pBdr>
        <w:spacing w:before="160" w:after="160" w:line="340"/>
        <w:ind w:left="480" w:right="240"/>
        <w:jc w:val="both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The DCP pattern is what turns U-AEDIA from a financial services architecture into an enterprise AI platform. Without it, each domain requires a custom implementation. With it, onboarding a new domain is a configuration exercise, not an engineering project.</w:t>
      </w:r>
    </w:p>
    <w:p>
      <w:pPr>
        <w:pBdr>
          <w:bottom w:val="single" w:color="0F3460" w:sz="4"/>
        </w:pBdr>
        <w:spacing w:before="480" w:after="18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 WHAT V4.0 ESTABLISHED</w:t>
      </w:r>
    </w:p>
    <w:p>
      <w:pPr>
        <w:spacing w:after="160" w:line="340"/>
        <w:ind w:left="48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 </w:t>
      </w:r>
      <w:r>
        <w:rPr>
          <w:rFonts w:ascii="Calibri" w:cs="Calibri" w:eastAsia="Calibri" w:hAnsi="Calibri"/>
          <w:sz w:val="23"/>
          <w:szCs w:val="23"/>
        </w:rPr>
        <w:t xml:space="preserve">The DCP parameterization pattern works across materially different regulatory environments -- healthcare, telecommunications, and insurance -- operating from a single platform architecture without core re-implementation. Domain-agnosticism is production-validated.</w:t>
      </w:r>
    </w:p>
    <w:p>
      <w:pPr>
        <w:spacing w:after="160" w:line="340"/>
        <w:ind w:left="48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 </w:t>
      </w:r>
      <w:r>
        <w:rPr>
          <w:rFonts w:ascii="Calibri" w:cs="Calibri" w:eastAsia="Calibri" w:hAnsi="Calibri"/>
          <w:sz w:val="23"/>
          <w:szCs w:val="23"/>
        </w:rPr>
        <w:t xml:space="preserve">Champion-challenger model governance can be implemented as a platform-level property, isolating each licensee's model deployment and validation from others while maintaining unified governance standards across all licensees.</w:t>
      </w:r>
    </w:p>
    <w:p>
      <w:pPr>
        <w:spacing w:after="160" w:line="340"/>
        <w:ind w:left="48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 </w:t>
      </w:r>
      <w:r>
        <w:rPr>
          <w:rFonts w:ascii="Calibri" w:cs="Calibri" w:eastAsia="Calibri" w:hAnsi="Calibri"/>
          <w:sz w:val="23"/>
          <w:szCs w:val="23"/>
        </w:rPr>
        <w:t xml:space="preserve">The platform economics that result from the DCP architecture -- delivery scaling with software deployment rather than engineering headcount -- are the commercial consequence of a specific architectural design decision.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b6f6109de4871251c29d1bd0d26e2cf952afca.png"/><Relationship Id="rId7" Type="http://schemas.openxmlformats.org/officeDocument/2006/relationships/image" Target="media/b4351e8a0997e10cccfd3a5a54cae6b470ea1d59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2026-04-02T01:07:34.102Z</dcterms:created>
  <dcterms:modified xsi:type="dcterms:W3CDTF">2026-04-02T01:07:34.102Z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