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60"/>
        <w:jc w:val="center"/>
      </w:pPr>
      <w:r>
        <w:rPr>
          <w:rFonts w:ascii="Calibri" w:cs="Calibri" w:eastAsia="Calibri" w:hAnsi="Calibri"/>
          <w:b/>
          <w:bCs/>
          <w:color w:val="0F3460"/>
          <w:sz w:val="72"/>
          <w:szCs w:val="72"/>
        </w:rPr>
        <w:t xml:space="preserve">U-AEDIA</w:t>
      </w:r>
    </w:p>
    <w:p>
      <w:pPr>
        <w:spacing w:after="80"/>
        <w:jc w:val="center"/>
      </w:pPr>
      <w:r>
        <w:rPr>
          <w:rFonts w:ascii="Calibri" w:cs="Calibri" w:eastAsia="Calibri" w:hAnsi="Calibri"/>
          <w:i/>
          <w:iCs/>
          <w:color w:val="16213E"/>
          <w:sz w:val="28"/>
          <w:szCs w:val="28"/>
        </w:rPr>
        <w:t xml:space="preserve">Unified AI-Driven Enterprise Decision Intelligence Architecture</w:t>
      </w:r>
    </w:p>
    <w:p>
      <w:pPr>
        <w:pBdr>
          <w:bottom w:val="single" w:color="0F3460" w:sz="8"/>
        </w:pBdr>
        <w:spacing w:after="360"/>
      </w:pPr>
      <w:r>
        <w:t xml:space="preserve"/>
      </w:r>
    </w:p>
    <w:p>
      <w:pPr>
        <w:spacing w:after="40"/>
        <w:jc w:val="center"/>
      </w:pPr>
      <w:r>
        <w:rPr>
          <w:rFonts w:ascii="Calibri" w:cs="Calibri" w:eastAsia="Calibri" w:hAnsi="Calibri"/>
          <w:b/>
          <w:bCs/>
          <w:color w:val="0F3460"/>
          <w:sz w:val="48"/>
          <w:szCs w:val="48"/>
        </w:rPr>
        <w:t xml:space="preserve">v3.0 - Analytics Framework Formalization</w:t>
      </w:r>
    </w:p>
    <w:p>
      <w:pPr>
        <w:spacing w:after="200"/>
        <w:jc w:val="center"/>
      </w:pPr>
      <w:r>
        <w:rPr>
          <w:rFonts w:ascii="Calibri" w:cs="Calibri" w:eastAsia="Calibri" w:hAnsi="Calibri"/>
          <w:b/>
          <w:bCs/>
          <w:color w:val="16213E"/>
          <w:sz w:val="30"/>
          <w:szCs w:val="30"/>
        </w:rPr>
        <w:t xml:space="preserve">Formal Specification of Decision Analytics Architecture</w:t>
      </w:r>
    </w:p>
    <w:p>
      <w:pPr>
        <w:spacing w:after="400"/>
        <w:jc w:val="center"/>
      </w:pPr>
      <w:r>
        <w:rPr>
          <w:rFonts w:ascii="Calibri" w:cs="Calibri" w:eastAsia="Calibri" w:hAnsi="Calibri"/>
          <w:i/>
          <w:iCs/>
          <w:color w:val="555555"/>
          <w:sz w:val="24"/>
          <w:szCs w:val="24"/>
        </w:rPr>
        <w:t xml:space="preserve">Formalizing the analytical foundations and prior art analysis of the decision-centric paradigm</w:t>
      </w:r>
    </w:p>
    <w:p>
      <w:pPr>
        <w:pBdr>
          <w:bottom w:val="single" w:color="CCCCCC" w:sz="2"/>
        </w:pBdr>
        <w:spacing w:after="200"/>
      </w:pPr>
      <w:r>
        <w:t xml:space="preserve"/>
      </w:r>
    </w:p>
    <w:p>
      <w:pPr>
        <w:spacing w:after="80"/>
      </w:pPr>
      <w:r>
        <w:t xml:space="preserve"/>
      </w:r>
    </w:p>
    <w:p>
      <w:pPr>
        <w:spacing w:after="40"/>
        <w:jc w:val="center"/>
      </w:pPr>
      <w:r>
        <w:rPr>
          <w:rFonts w:ascii="Calibri" w:cs="Calibri" w:eastAsia="Calibri" w:hAnsi="Calibri"/>
          <w:color w:val="333333"/>
          <w:sz w:val="22"/>
          <w:szCs w:val="22"/>
        </w:rPr>
        <w:t xml:space="preserve">Mesbaul Haque Sazu</w:t>
      </w:r>
    </w:p>
    <w:p>
      <w:pPr>
        <w:spacing w:after="40"/>
        <w:jc w:val="center"/>
      </w:pPr>
      <w:r>
        <w:rPr>
          <w:rFonts w:ascii="Calibri" w:cs="Calibri" w:eastAsia="Calibri" w:hAnsi="Calibri"/>
          <w:color w:val="333333"/>
          <w:sz w:val="22"/>
          <w:szCs w:val="22"/>
        </w:rPr>
        <w:t xml:space="preserve">Author and Principal Architect</w:t>
      </w:r>
    </w:p>
    <w:p>
      <w:pPr>
        <w:spacing w:after="40"/>
        <w:jc w:val="center"/>
      </w:pPr>
      <w:r>
        <w:rPr>
          <w:rFonts w:ascii="Calibri" w:cs="Calibri" w:eastAsia="Calibri" w:hAnsi="Calibri"/>
          <w:color w:val="333333"/>
          <w:sz w:val="22"/>
          <w:szCs w:val="22"/>
        </w:rPr>
        <w:t xml:space="preserve">Temple University</w:t>
      </w:r>
    </w:p>
    <w:p>
      <w:pPr>
        <w:spacing w:after="120"/>
      </w:pPr>
      <w:r>
        <w:t xml:space="preserve"/>
      </w:r>
    </w:p>
    <w:p>
      <w:pPr>
        <w:spacing w:after="40"/>
        <w:jc w:val="center"/>
      </w:pPr>
      <w:r>
        <w:rPr>
          <w:rFonts w:ascii="Calibri" w:cs="Calibri" w:eastAsia="Calibri" w:hAnsi="Calibri"/>
          <w:color w:val="555555"/>
          <w:sz w:val="22"/>
          <w:szCs w:val="22"/>
        </w:rPr>
        <w:t xml:space="preserve">June 7, 2019</w:t>
      </w:r>
    </w:p>
    <w:p>
      <w:pPr>
        <w:spacing w:after="40"/>
        <w:jc w:val="center"/>
      </w:pPr>
      <w:r>
        <w:rPr>
          <w:rFonts w:ascii="Calibri" w:cs="Calibri" w:eastAsia="Calibri" w:hAnsi="Calibri"/>
          <w:color w:val="555555"/>
          <w:sz w:val="22"/>
          <w:szCs w:val="22"/>
        </w:rPr>
        <w:t xml:space="preserve">Document Status: Framework Specification</w:t>
      </w:r>
    </w:p>
    <w:p>
      <w:pPr>
        <w:spacing w:after="160"/>
      </w:pPr>
      <w:r>
        <w:t xml:space="preserve"/>
      </w:r>
    </w:p>
    <w:p>
      <w:pPr>
        <w:spacing w:after="40"/>
        <w:jc w:val="center"/>
      </w:pPr>
      <w:r>
        <w:rPr>
          <w:rFonts w:ascii="Calibri" w:cs="Calibri" w:eastAsia="Calibri" w:hAnsi="Calibri"/>
          <w:i/>
          <w:iCs/>
          <w:color w:val="777777"/>
          <w:sz w:val="19"/>
          <w:szCs w:val="19"/>
        </w:rPr>
        <w:t xml:space="preserve">All architectural constructs, design patterns, and terminology described herein are original intellectual contributions of the author. This framework was independently conceived and developed beginning in 2018.</w:t>
      </w:r>
    </w:p>
    <w:p>
      <w:r>
        <w:br w:type="page"/>
      </w:r>
    </w:p>
    <w:p>
      <w:pPr>
        <w:pBdr>
          <w:bottom w:val="single" w:color="0F3460" w:sz="4"/>
        </w:pBdr>
        <w:spacing w:before="480" w:after="180"/>
      </w:pPr>
      <w:r>
        <w:rPr>
          <w:rFonts w:ascii="Calibri" w:cs="Calibri" w:eastAsia="Calibri" w:hAnsi="Calibri"/>
          <w:b/>
          <w:bCs/>
          <w:color w:val="0F3460"/>
          <w:sz w:val="26"/>
          <w:szCs w:val="26"/>
        </w:rPr>
        <w:t xml:space="preserve">1. PURPOSE OF THIS VERSION</w:t>
      </w:r>
    </w:p>
    <w:p>
      <w:pPr>
        <w:spacing w:after="220" w:line="360"/>
        <w:jc w:val="both"/>
      </w:pPr>
      <w:r>
        <w:rPr>
          <w:rFonts w:ascii="Calibri" w:cs="Calibri" w:eastAsia="Calibri" w:hAnsi="Calibri"/>
          <w:sz w:val="23"/>
          <w:szCs w:val="23"/>
        </w:rPr>
        <w:t xml:space="preserve">v3.0 formalizes the analytical and architectural foundations of the U-AEDIA framework. Where v2.0 documented the first production application, v3.0 steps back to establish the framework's conceptual architecture with greater precision: a rigorous prior art analysis, formal specification of the state machine semantics, and a systematic account of the gaps in existing frameworks that U-AEDIA addresses.</w:t>
      </w:r>
    </w:p>
    <w:p>
      <w:pPr>
        <w:pBdr>
          <w:left w:val="thick" w:color="0F3460" w:sz="12"/>
        </w:pBdr>
        <w:spacing w:before="160" w:after="160" w:line="340"/>
        <w:ind w:left="480" w:right="240"/>
        <w:jc w:val="both"/>
      </w:pPr>
      <w:r>
        <w:rPr>
          <w:rFonts w:ascii="Calibri" w:cs="Calibri" w:eastAsia="Calibri" w:hAnsi="Calibri"/>
          <w:i/>
          <w:iCs/>
          <w:color w:val="1a1a2e"/>
          <w:sz w:val="22"/>
          <w:szCs w:val="22"/>
        </w:rPr>
        <w:t xml:space="preserve">Foundation from v2.0: The credit decisioning architecture, the Feature Registry design, and the regulatory compliance layer from v2.0 are retained and extended. v3.0 adds formal specification depth and the analytical framework documentation.</w:t>
      </w:r>
    </w:p>
    <w:p>
      <w:pPr>
        <w:pBdr>
          <w:bottom w:val="single" w:color="0F3460" w:sz="4"/>
        </w:pBdr>
        <w:spacing w:before="480" w:after="180"/>
      </w:pPr>
      <w:r>
        <w:rPr>
          <w:rFonts w:ascii="Calibri" w:cs="Calibri" w:eastAsia="Calibri" w:hAnsi="Calibri"/>
          <w:b/>
          <w:bCs/>
          <w:color w:val="0F3460"/>
          <w:sz w:val="26"/>
          <w:szCs w:val="26"/>
        </w:rPr>
        <w:t xml:space="preserve">2. DECISION INTELLIGENCE AS AN ARCHITECTURAL DISCIPLINE</w:t>
      </w:r>
    </w:p>
    <w:p>
      <w:pPr>
        <w:spacing w:after="220" w:line="360"/>
        <w:jc w:val="both"/>
      </w:pPr>
      <w:r>
        <w:rPr>
          <w:rFonts w:ascii="Calibri" w:cs="Calibri" w:eastAsia="Calibri" w:hAnsi="Calibri"/>
          <w:sz w:val="23"/>
          <w:szCs w:val="23"/>
        </w:rPr>
        <w:t xml:space="preserve">Enterprise AI architecture -- the design of systems that deploy artificial intelligence at production scale in regulated enterprise environments -- is a distinct discipline from AI research, data engineering, and AI application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shd w:fill="0F3460" w:val="clear"/>
          </w:tcPr>
          <w:p>
            <w:pPr>
              <w:spacing w:after="60"/>
            </w:pPr>
            <w:r>
              <w:rPr>
                <w:rFonts w:ascii="Calibri" w:cs="Calibri" w:eastAsia="Calibri" w:hAnsi="Calibri"/>
                <w:b/>
                <w:bCs/>
                <w:color w:val="FFFFFF"/>
                <w:sz w:val="21"/>
                <w:szCs w:val="21"/>
              </w:rPr>
              <w:t xml:space="preserve">Discipline</w:t>
            </w:r>
          </w:p>
        </w:tc>
        <w:tc>
          <w:tcPr>
            <w:tcW w:type="dxa" w:w="2200"/>
            <w:shd w:fill="0F3460" w:val="clear"/>
          </w:tcPr>
          <w:p>
            <w:pPr>
              <w:spacing w:after="60"/>
            </w:pPr>
            <w:r>
              <w:rPr>
                <w:rFonts w:ascii="Calibri" w:cs="Calibri" w:eastAsia="Calibri" w:hAnsi="Calibri"/>
                <w:b/>
                <w:bCs/>
                <w:color w:val="FFFFFF"/>
                <w:sz w:val="21"/>
                <w:szCs w:val="21"/>
              </w:rPr>
              <w:t xml:space="preserve">Primary concern</w:t>
            </w:r>
          </w:p>
        </w:tc>
        <w:tc>
          <w:tcPr>
            <w:tcW w:type="dxa" w:w="2200"/>
            <w:shd w:fill="0F3460" w:val="clear"/>
          </w:tcPr>
          <w:p>
            <w:pPr>
              <w:spacing w:after="60"/>
            </w:pPr>
            <w:r>
              <w:rPr>
                <w:rFonts w:ascii="Calibri" w:cs="Calibri" w:eastAsia="Calibri" w:hAnsi="Calibri"/>
                <w:b/>
                <w:bCs/>
                <w:color w:val="FFFFFF"/>
                <w:sz w:val="21"/>
                <w:szCs w:val="21"/>
              </w:rPr>
              <w:t xml:space="preserve">Output artifact</w:t>
            </w:r>
          </w:p>
        </w:tc>
        <w:tc>
          <w:tcPr>
            <w:tcW w:type="dxa" w:w="2960"/>
            <w:shd w:fill="0F3460" w:val="clear"/>
          </w:tcPr>
          <w:p>
            <w:pPr>
              <w:spacing w:after="60"/>
            </w:pPr>
            <w:r>
              <w:rPr>
                <w:rFonts w:ascii="Calibri" w:cs="Calibri" w:eastAsia="Calibri" w:hAnsi="Calibri"/>
                <w:b/>
                <w:bCs/>
                <w:color w:val="FFFFFF"/>
                <w:sz w:val="21"/>
                <w:szCs w:val="21"/>
              </w:rPr>
              <w:t xml:space="preserve">Governance relationship</w:t>
            </w:r>
          </w:p>
        </w:tc>
      </w:tr>
      <w:tr>
        <w:tc>
          <w:tcPr>
            <w:tcW w:type="dxa" w:w="2000"/>
            <w:shd w:fill="FFFFFF" w:val="clear"/>
          </w:tcPr>
          <w:p>
            <w:pPr>
              <w:spacing w:after="60"/>
              <w:jc w:val="both"/>
            </w:pPr>
            <w:r>
              <w:rPr>
                <w:rFonts w:ascii="Calibri" w:cs="Calibri" w:eastAsia="Calibri" w:hAnsi="Calibri"/>
                <w:sz w:val="21"/>
                <w:szCs w:val="21"/>
              </w:rPr>
              <w:t xml:space="preserve">AI Research</w:t>
            </w:r>
          </w:p>
        </w:tc>
        <w:tc>
          <w:tcPr>
            <w:tcW w:type="dxa" w:w="2200"/>
            <w:shd w:fill="FFFFFF" w:val="clear"/>
          </w:tcPr>
          <w:p>
            <w:pPr>
              <w:spacing w:after="60"/>
              <w:jc w:val="both"/>
            </w:pPr>
            <w:r>
              <w:rPr>
                <w:rFonts w:ascii="Calibri" w:cs="Calibri" w:eastAsia="Calibri" w:hAnsi="Calibri"/>
                <w:sz w:val="21"/>
                <w:szCs w:val="21"/>
              </w:rPr>
              <w:t xml:space="preserve">Model accuracy and algorithmic advance</w:t>
            </w:r>
          </w:p>
        </w:tc>
        <w:tc>
          <w:tcPr>
            <w:tcW w:type="dxa" w:w="2200"/>
            <w:shd w:fill="FFFFFF" w:val="clear"/>
          </w:tcPr>
          <w:p>
            <w:pPr>
              <w:spacing w:after="60"/>
              <w:jc w:val="both"/>
            </w:pPr>
            <w:r>
              <w:rPr>
                <w:rFonts w:ascii="Calibri" w:cs="Calibri" w:eastAsia="Calibri" w:hAnsi="Calibri"/>
                <w:sz w:val="21"/>
                <w:szCs w:val="21"/>
              </w:rPr>
              <w:t xml:space="preserve">Trained models, papers</w:t>
            </w:r>
          </w:p>
        </w:tc>
        <w:tc>
          <w:tcPr>
            <w:tcW w:type="dxa" w:w="2960"/>
            <w:shd w:fill="FFFFFF" w:val="clear"/>
          </w:tcPr>
          <w:p>
            <w:pPr>
              <w:spacing w:after="60"/>
              <w:jc w:val="both"/>
            </w:pPr>
            <w:r>
              <w:rPr>
                <w:rFonts w:ascii="Calibri" w:cs="Calibri" w:eastAsia="Calibri" w:hAnsi="Calibri"/>
                <w:sz w:val="21"/>
                <w:szCs w:val="21"/>
              </w:rPr>
              <w:t xml:space="preserve">Governance is external to the discipline</w:t>
            </w:r>
          </w:p>
        </w:tc>
      </w:tr>
      <w:tr>
        <w:tc>
          <w:tcPr>
            <w:tcW w:type="dxa" w:w="2000"/>
            <w:shd w:fill="F8FAFC" w:val="clear"/>
          </w:tcPr>
          <w:p>
            <w:pPr>
              <w:spacing w:after="60"/>
              <w:jc w:val="both"/>
            </w:pPr>
            <w:r>
              <w:rPr>
                <w:rFonts w:ascii="Calibri" w:cs="Calibri" w:eastAsia="Calibri" w:hAnsi="Calibri"/>
                <w:sz w:val="21"/>
                <w:szCs w:val="21"/>
              </w:rPr>
              <w:t xml:space="preserve">Data Engineering</w:t>
            </w:r>
          </w:p>
        </w:tc>
        <w:tc>
          <w:tcPr>
            <w:tcW w:type="dxa" w:w="2200"/>
            <w:shd w:fill="F8FAFC" w:val="clear"/>
          </w:tcPr>
          <w:p>
            <w:pPr>
              <w:spacing w:after="60"/>
              <w:jc w:val="both"/>
            </w:pPr>
            <w:r>
              <w:rPr>
                <w:rFonts w:ascii="Calibri" w:cs="Calibri" w:eastAsia="Calibri" w:hAnsi="Calibri"/>
                <w:sz w:val="21"/>
                <w:szCs w:val="21"/>
              </w:rPr>
              <w:t xml:space="preserve">Pipeline reliability and data quality</w:t>
            </w:r>
          </w:p>
        </w:tc>
        <w:tc>
          <w:tcPr>
            <w:tcW w:type="dxa" w:w="2200"/>
            <w:shd w:fill="F8FAFC" w:val="clear"/>
          </w:tcPr>
          <w:p>
            <w:pPr>
              <w:spacing w:after="60"/>
              <w:jc w:val="both"/>
            </w:pPr>
            <w:r>
              <w:rPr>
                <w:rFonts w:ascii="Calibri" w:cs="Calibri" w:eastAsia="Calibri" w:hAnsi="Calibri"/>
                <w:sz w:val="21"/>
                <w:szCs w:val="21"/>
              </w:rPr>
              <w:t xml:space="preserve">Pipelines, data products</w:t>
            </w:r>
          </w:p>
        </w:tc>
        <w:tc>
          <w:tcPr>
            <w:tcW w:type="dxa" w:w="2960"/>
            <w:shd w:fill="F8FAFC" w:val="clear"/>
          </w:tcPr>
          <w:p>
            <w:pPr>
              <w:spacing w:after="60"/>
              <w:jc w:val="both"/>
            </w:pPr>
            <w:r>
              <w:rPr>
                <w:rFonts w:ascii="Calibri" w:cs="Calibri" w:eastAsia="Calibri" w:hAnsi="Calibri"/>
                <w:sz w:val="21"/>
                <w:szCs w:val="21"/>
              </w:rPr>
              <w:t xml:space="preserve">Governance applied after delivery</w:t>
            </w:r>
          </w:p>
        </w:tc>
      </w:tr>
      <w:tr>
        <w:tc>
          <w:tcPr>
            <w:tcW w:type="dxa" w:w="2000"/>
            <w:shd w:fill="FFFFFF" w:val="clear"/>
          </w:tcPr>
          <w:p>
            <w:pPr>
              <w:spacing w:after="60"/>
              <w:jc w:val="both"/>
            </w:pPr>
            <w:r>
              <w:rPr>
                <w:rFonts w:ascii="Calibri" w:cs="Calibri" w:eastAsia="Calibri" w:hAnsi="Calibri"/>
                <w:sz w:val="21"/>
                <w:szCs w:val="21"/>
              </w:rPr>
              <w:t xml:space="preserve">MLOps</w:t>
            </w:r>
          </w:p>
        </w:tc>
        <w:tc>
          <w:tcPr>
            <w:tcW w:type="dxa" w:w="2200"/>
            <w:shd w:fill="FFFFFF" w:val="clear"/>
          </w:tcPr>
          <w:p>
            <w:pPr>
              <w:spacing w:after="60"/>
              <w:jc w:val="both"/>
            </w:pPr>
            <w:r>
              <w:rPr>
                <w:rFonts w:ascii="Calibri" w:cs="Calibri" w:eastAsia="Calibri" w:hAnsi="Calibri"/>
                <w:sz w:val="21"/>
                <w:szCs w:val="21"/>
              </w:rPr>
              <w:t xml:space="preserve">Model lifecycle management</w:t>
            </w:r>
          </w:p>
        </w:tc>
        <w:tc>
          <w:tcPr>
            <w:tcW w:type="dxa" w:w="2200"/>
            <w:shd w:fill="FFFFFF" w:val="clear"/>
          </w:tcPr>
          <w:p>
            <w:pPr>
              <w:spacing w:after="60"/>
              <w:jc w:val="both"/>
            </w:pPr>
            <w:r>
              <w:rPr>
                <w:rFonts w:ascii="Calibri" w:cs="Calibri" w:eastAsia="Calibri" w:hAnsi="Calibri"/>
                <w:sz w:val="21"/>
                <w:szCs w:val="21"/>
              </w:rPr>
              <w:t xml:space="preserve">Deployed inference endpoints</w:t>
            </w:r>
          </w:p>
        </w:tc>
        <w:tc>
          <w:tcPr>
            <w:tcW w:type="dxa" w:w="2960"/>
            <w:shd w:fill="FFFFFF" w:val="clear"/>
          </w:tcPr>
          <w:p>
            <w:pPr>
              <w:spacing w:after="60"/>
              <w:jc w:val="both"/>
            </w:pPr>
            <w:r>
              <w:rPr>
                <w:rFonts w:ascii="Calibri" w:cs="Calibri" w:eastAsia="Calibri" w:hAnsi="Calibri"/>
                <w:sz w:val="21"/>
                <w:szCs w:val="21"/>
              </w:rPr>
              <w:t xml:space="preserve">Governance through monitoring and rollback</w:t>
            </w:r>
          </w:p>
        </w:tc>
      </w:tr>
      <w:tr>
        <w:tc>
          <w:tcPr>
            <w:tcW w:type="dxa" w:w="2000"/>
            <w:shd w:fill="F8FAFC" w:val="clear"/>
          </w:tcPr>
          <w:p>
            <w:pPr>
              <w:spacing w:after="60"/>
              <w:jc w:val="both"/>
            </w:pPr>
            <w:r>
              <w:rPr>
                <w:rFonts w:ascii="Calibri" w:cs="Calibri" w:eastAsia="Calibri" w:hAnsi="Calibri"/>
                <w:sz w:val="21"/>
                <w:szCs w:val="21"/>
              </w:rPr>
              <w:t xml:space="preserve">Decision Intelligence (U-AEDIA)</w:t>
            </w:r>
          </w:p>
        </w:tc>
        <w:tc>
          <w:tcPr>
            <w:tcW w:type="dxa" w:w="2200"/>
            <w:shd w:fill="F8FAFC" w:val="clear"/>
          </w:tcPr>
          <w:p>
            <w:pPr>
              <w:spacing w:after="60"/>
              <w:jc w:val="both"/>
            </w:pPr>
            <w:r>
              <w:rPr>
                <w:rFonts w:ascii="Calibri" w:cs="Calibri" w:eastAsia="Calibri" w:hAnsi="Calibri"/>
                <w:sz w:val="21"/>
                <w:szCs w:val="21"/>
              </w:rPr>
              <w:t xml:space="preserve">Governed, auditable, executed decisions</w:t>
            </w:r>
          </w:p>
        </w:tc>
        <w:tc>
          <w:tcPr>
            <w:tcW w:type="dxa" w:w="2200"/>
            <w:shd w:fill="F8FAFC" w:val="clear"/>
          </w:tcPr>
          <w:p>
            <w:pPr>
              <w:spacing w:after="60"/>
              <w:jc w:val="both"/>
            </w:pPr>
            <w:r>
              <w:rPr>
                <w:rFonts w:ascii="Calibri" w:cs="Calibri" w:eastAsia="Calibri" w:hAnsi="Calibri"/>
                <w:sz w:val="21"/>
                <w:szCs w:val="21"/>
              </w:rPr>
              <w:t xml:space="preserve">Decision Objects with full audit records</w:t>
            </w:r>
          </w:p>
        </w:tc>
        <w:tc>
          <w:tcPr>
            <w:tcW w:type="dxa" w:w="2960"/>
            <w:shd w:fill="F8FAFC" w:val="clear"/>
          </w:tcPr>
          <w:p>
            <w:pPr>
              <w:spacing w:after="60"/>
              <w:jc w:val="both"/>
            </w:pPr>
            <w:r>
              <w:rPr>
                <w:rFonts w:ascii="Calibri" w:cs="Calibri" w:eastAsia="Calibri" w:hAnsi="Calibri"/>
                <w:sz w:val="21"/>
                <w:szCs w:val="21"/>
              </w:rPr>
              <w:t xml:space="preserve">Governance embedded in the execution architecture</w:t>
            </w:r>
          </w:p>
        </w:tc>
      </w:tr>
    </w:tbl>
    <w:p>
      <w:pPr>
        <w:pBdr>
          <w:bottom w:val="single" w:color="0F3460" w:sz="4"/>
        </w:pBdr>
        <w:spacing w:before="480" w:after="180"/>
      </w:pPr>
      <w:r>
        <w:rPr>
          <w:rFonts w:ascii="Calibri" w:cs="Calibri" w:eastAsia="Calibri" w:hAnsi="Calibri"/>
          <w:b/>
          <w:bCs/>
          <w:color w:val="0F3460"/>
          <w:sz w:val="26"/>
          <w:szCs w:val="26"/>
        </w:rPr>
        <w:t xml:space="preserve">3. FORMAL STATE MACHINE SPECIFICATION</w:t>
      </w:r>
    </w:p>
    <w:p>
      <w:pPr>
        <w:spacing w:after="80"/>
      </w:pPr>
      <w:r>
        <w:t xml:space="preserve"/>
      </w:r>
    </w:p>
    <w:p>
      <w:pPr>
        <w:spacing w:before="200" w:after="160"/>
        <w:jc w:val="center"/>
      </w:pPr>
      <w:r>
        <w:drawing>
          <wp:inline distT="0" distB="0" distL="0" distR="0">
            <wp:extent cx="5715000" cy="3590925"/>
            <wp:effectExtent t="0" r="0" b="0" l="0"/>
            <wp:docPr id="1" name="fig_state_machine" descr="fig_state_machine" title="fig_state_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590925"/>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1. The DOL formal state machine. Every transition is atomic and durable. The COMPENSATED state enables recovery from partial execution failures without human intervention.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400"/>
        <w:gridCol w:w="3260"/>
      </w:tblGrid>
      <w:tr>
        <w:tc>
          <w:tcPr>
            <w:tcW w:type="dxa" w:w="1600"/>
            <w:shd w:fill="0F3460" w:val="clear"/>
          </w:tcPr>
          <w:p>
            <w:pPr>
              <w:spacing w:after="60"/>
            </w:pPr>
            <w:r>
              <w:rPr>
                <w:rFonts w:ascii="Calibri" w:cs="Calibri" w:eastAsia="Calibri" w:hAnsi="Calibri"/>
                <w:b/>
                <w:bCs/>
                <w:color w:val="FFFFFF"/>
                <w:sz w:val="21"/>
                <w:szCs w:val="21"/>
              </w:rPr>
              <w:t xml:space="preserve">State</w:t>
            </w:r>
          </w:p>
        </w:tc>
        <w:tc>
          <w:tcPr>
            <w:tcW w:type="dxa" w:w="2100"/>
            <w:shd w:fill="0F3460" w:val="clear"/>
          </w:tcPr>
          <w:p>
            <w:pPr>
              <w:spacing w:after="60"/>
            </w:pPr>
            <w:r>
              <w:rPr>
                <w:rFonts w:ascii="Calibri" w:cs="Calibri" w:eastAsia="Calibri" w:hAnsi="Calibri"/>
                <w:b/>
                <w:bCs/>
                <w:color w:val="FFFFFF"/>
                <w:sz w:val="21"/>
                <w:szCs w:val="21"/>
              </w:rPr>
              <w:t xml:space="preserve">Entry condition</w:t>
            </w:r>
          </w:p>
        </w:tc>
        <w:tc>
          <w:tcPr>
            <w:tcW w:type="dxa" w:w="2400"/>
            <w:shd w:fill="0F3460" w:val="clear"/>
          </w:tcPr>
          <w:p>
            <w:pPr>
              <w:spacing w:after="60"/>
            </w:pPr>
            <w:r>
              <w:rPr>
                <w:rFonts w:ascii="Calibri" w:cs="Calibri" w:eastAsia="Calibri" w:hAnsi="Calibri"/>
                <w:b/>
                <w:bCs/>
                <w:color w:val="FFFFFF"/>
                <w:sz w:val="21"/>
                <w:szCs w:val="21"/>
              </w:rPr>
              <w:t xml:space="preserve">Exit transitions</w:t>
            </w:r>
          </w:p>
        </w:tc>
        <w:tc>
          <w:tcPr>
            <w:tcW w:type="dxa" w:w="3260"/>
            <w:shd w:fill="0F3460" w:val="clear"/>
          </w:tcPr>
          <w:p>
            <w:pPr>
              <w:spacing w:after="60"/>
            </w:pPr>
            <w:r>
              <w:rPr>
                <w:rFonts w:ascii="Calibri" w:cs="Calibri" w:eastAsia="Calibri" w:hAnsi="Calibri"/>
                <w:b/>
                <w:bCs/>
                <w:color w:val="FFFFFF"/>
                <w:sz w:val="21"/>
                <w:szCs w:val="21"/>
              </w:rPr>
              <w:t xml:space="preserve">Audit record produced</w:t>
            </w:r>
          </w:p>
        </w:tc>
      </w:tr>
      <w:tr>
        <w:tc>
          <w:tcPr>
            <w:tcW w:type="dxa" w:w="1600"/>
            <w:shd w:fill="FFFFFF" w:val="clear"/>
          </w:tcPr>
          <w:p>
            <w:pPr>
              <w:spacing w:after="60"/>
              <w:jc w:val="both"/>
            </w:pPr>
            <w:r>
              <w:rPr>
                <w:rFonts w:ascii="Calibri" w:cs="Calibri" w:eastAsia="Calibri" w:hAnsi="Calibri"/>
                <w:sz w:val="21"/>
                <w:szCs w:val="21"/>
              </w:rPr>
              <w:t xml:space="preserve">INITIATED</w:t>
            </w:r>
          </w:p>
        </w:tc>
        <w:tc>
          <w:tcPr>
            <w:tcW w:type="dxa" w:w="2100"/>
            <w:shd w:fill="FFFFFF" w:val="clear"/>
          </w:tcPr>
          <w:p>
            <w:pPr>
              <w:spacing w:after="60"/>
              <w:jc w:val="both"/>
            </w:pPr>
            <w:r>
              <w:rPr>
                <w:rFonts w:ascii="Calibri" w:cs="Calibri" w:eastAsia="Calibri" w:hAnsi="Calibri"/>
                <w:sz w:val="21"/>
                <w:szCs w:val="21"/>
              </w:rPr>
              <w:t xml:space="preserve">DCID assigned; event validated at ingestion</w:t>
            </w:r>
          </w:p>
        </w:tc>
        <w:tc>
          <w:tcPr>
            <w:tcW w:type="dxa" w:w="2400"/>
            <w:shd w:fill="FFFFFF" w:val="clear"/>
          </w:tcPr>
          <w:p>
            <w:pPr>
              <w:spacing w:after="60"/>
              <w:jc w:val="both"/>
            </w:pPr>
            <w:r>
              <w:rPr>
                <w:rFonts w:ascii="Calibri" w:cs="Calibri" w:eastAsia="Calibri" w:hAnsi="Calibri"/>
                <w:sz w:val="21"/>
                <w:szCs w:val="21"/>
              </w:rPr>
              <w:t xml:space="preserve">FEATURE_READY on successful feature computation</w:t>
            </w:r>
          </w:p>
        </w:tc>
        <w:tc>
          <w:tcPr>
            <w:tcW w:type="dxa" w:w="3260"/>
            <w:shd w:fill="FFFFFF" w:val="clear"/>
          </w:tcPr>
          <w:p>
            <w:pPr>
              <w:spacing w:after="60"/>
              <w:jc w:val="both"/>
            </w:pPr>
            <w:r>
              <w:rPr>
                <w:rFonts w:ascii="Calibri" w:cs="Calibri" w:eastAsia="Calibri" w:hAnsi="Calibri"/>
                <w:sz w:val="21"/>
                <w:szCs w:val="21"/>
              </w:rPr>
              <w:t xml:space="preserve">Event receipt, DCID assignment, schema validation result</w:t>
            </w:r>
          </w:p>
        </w:tc>
      </w:tr>
      <w:tr>
        <w:tc>
          <w:tcPr>
            <w:tcW w:type="dxa" w:w="1600"/>
            <w:shd w:fill="F8FAFC" w:val="clear"/>
          </w:tcPr>
          <w:p>
            <w:pPr>
              <w:spacing w:after="60"/>
              <w:jc w:val="both"/>
            </w:pPr>
            <w:r>
              <w:rPr>
                <w:rFonts w:ascii="Calibri" w:cs="Calibri" w:eastAsia="Calibri" w:hAnsi="Calibri"/>
                <w:sz w:val="21"/>
                <w:szCs w:val="21"/>
              </w:rPr>
              <w:t xml:space="preserve">FEATURE_READY</w:t>
            </w:r>
          </w:p>
        </w:tc>
        <w:tc>
          <w:tcPr>
            <w:tcW w:type="dxa" w:w="2100"/>
            <w:shd w:fill="F8FAFC" w:val="clear"/>
          </w:tcPr>
          <w:p>
            <w:pPr>
              <w:spacing w:after="60"/>
              <w:jc w:val="both"/>
            </w:pPr>
            <w:r>
              <w:rPr>
                <w:rFonts w:ascii="Calibri" w:cs="Calibri" w:eastAsia="Calibri" w:hAnsi="Calibri"/>
                <w:sz w:val="21"/>
                <w:szCs w:val="21"/>
              </w:rPr>
              <w:t xml:space="preserve">All feature values computed from unified registry</w:t>
            </w:r>
          </w:p>
        </w:tc>
        <w:tc>
          <w:tcPr>
            <w:tcW w:type="dxa" w:w="2400"/>
            <w:shd w:fill="F8FAFC" w:val="clear"/>
          </w:tcPr>
          <w:p>
            <w:pPr>
              <w:spacing w:after="60"/>
              <w:jc w:val="both"/>
            </w:pPr>
            <w:r>
              <w:rPr>
                <w:rFonts w:ascii="Calibri" w:cs="Calibri" w:eastAsia="Calibri" w:hAnsi="Calibri"/>
                <w:sz w:val="21"/>
                <w:szCs w:val="21"/>
              </w:rPr>
              <w:t xml:space="preserve">INFERENCE_COMPLETE on model output received</w:t>
            </w:r>
          </w:p>
        </w:tc>
        <w:tc>
          <w:tcPr>
            <w:tcW w:type="dxa" w:w="3260"/>
            <w:shd w:fill="F8FAFC" w:val="clear"/>
          </w:tcPr>
          <w:p>
            <w:pPr>
              <w:spacing w:after="60"/>
              <w:jc w:val="both"/>
            </w:pPr>
            <w:r>
              <w:rPr>
                <w:rFonts w:ascii="Calibri" w:cs="Calibri" w:eastAsia="Calibri" w:hAnsi="Calibri"/>
                <w:sz w:val="21"/>
                <w:szCs w:val="21"/>
              </w:rPr>
              <w:t xml:space="preserve">Feature snapshot with registry version at decision time</w:t>
            </w:r>
          </w:p>
        </w:tc>
      </w:tr>
      <w:tr>
        <w:tc>
          <w:tcPr>
            <w:tcW w:type="dxa" w:w="1600"/>
            <w:shd w:fill="FFFFFF" w:val="clear"/>
          </w:tcPr>
          <w:p>
            <w:pPr>
              <w:spacing w:after="60"/>
              <w:jc w:val="both"/>
            </w:pPr>
            <w:r>
              <w:rPr>
                <w:rFonts w:ascii="Calibri" w:cs="Calibri" w:eastAsia="Calibri" w:hAnsi="Calibri"/>
                <w:sz w:val="21"/>
                <w:szCs w:val="21"/>
              </w:rPr>
              <w:t xml:space="preserve">INFERENCE_COMPLETE</w:t>
            </w:r>
          </w:p>
        </w:tc>
        <w:tc>
          <w:tcPr>
            <w:tcW w:type="dxa" w:w="2100"/>
            <w:shd w:fill="FFFFFF" w:val="clear"/>
          </w:tcPr>
          <w:p>
            <w:pPr>
              <w:spacing w:after="60"/>
              <w:jc w:val="both"/>
            </w:pPr>
            <w:r>
              <w:rPr>
                <w:rFonts w:ascii="Calibri" w:cs="Calibri" w:eastAsia="Calibri" w:hAnsi="Calibri"/>
                <w:sz w:val="21"/>
                <w:szCs w:val="21"/>
              </w:rPr>
              <w:t xml:space="preserve">All model scores computed and associated with DCID</w:t>
            </w:r>
          </w:p>
        </w:tc>
        <w:tc>
          <w:tcPr>
            <w:tcW w:type="dxa" w:w="2400"/>
            <w:shd w:fill="FFFFFF" w:val="clear"/>
          </w:tcPr>
          <w:p>
            <w:pPr>
              <w:spacing w:after="60"/>
              <w:jc w:val="both"/>
            </w:pPr>
            <w:r>
              <w:rPr>
                <w:rFonts w:ascii="Calibri" w:cs="Calibri" w:eastAsia="Calibri" w:hAnsi="Calibri"/>
                <w:sz w:val="21"/>
                <w:szCs w:val="21"/>
              </w:rPr>
              <w:t xml:space="preserve">RULES_EVALUATED on rules engine completion</w:t>
            </w:r>
          </w:p>
        </w:tc>
        <w:tc>
          <w:tcPr>
            <w:tcW w:type="dxa" w:w="3260"/>
            <w:shd w:fill="FFFFFF" w:val="clear"/>
          </w:tcPr>
          <w:p>
            <w:pPr>
              <w:spacing w:after="60"/>
              <w:jc w:val="both"/>
            </w:pPr>
            <w:r>
              <w:rPr>
                <w:rFonts w:ascii="Calibri" w:cs="Calibri" w:eastAsia="Calibri" w:hAnsi="Calibri"/>
                <w:sz w:val="21"/>
                <w:szCs w:val="21"/>
              </w:rPr>
              <w:t xml:space="preserve">Model IDs, versions, scores, SHAP values</w:t>
            </w:r>
          </w:p>
        </w:tc>
      </w:tr>
      <w:tr>
        <w:tc>
          <w:tcPr>
            <w:tcW w:type="dxa" w:w="1600"/>
            <w:shd w:fill="F8FAFC" w:val="clear"/>
          </w:tcPr>
          <w:p>
            <w:pPr>
              <w:spacing w:after="60"/>
              <w:jc w:val="both"/>
            </w:pPr>
            <w:r>
              <w:rPr>
                <w:rFonts w:ascii="Calibri" w:cs="Calibri" w:eastAsia="Calibri" w:hAnsi="Calibri"/>
                <w:sz w:val="21"/>
                <w:szCs w:val="21"/>
              </w:rPr>
              <w:t xml:space="preserve">RULES_EVALUATED</w:t>
            </w:r>
          </w:p>
        </w:tc>
        <w:tc>
          <w:tcPr>
            <w:tcW w:type="dxa" w:w="2100"/>
            <w:shd w:fill="F8FAFC" w:val="clear"/>
          </w:tcPr>
          <w:p>
            <w:pPr>
              <w:spacing w:after="60"/>
              <w:jc w:val="both"/>
            </w:pPr>
            <w:r>
              <w:rPr>
                <w:rFonts w:ascii="Calibri" w:cs="Calibri" w:eastAsia="Calibri" w:hAnsi="Calibri"/>
                <w:sz w:val="21"/>
                <w:szCs w:val="21"/>
              </w:rPr>
              <w:t xml:space="preserve">All applicable policy rules evaluated</w:t>
            </w:r>
          </w:p>
        </w:tc>
        <w:tc>
          <w:tcPr>
            <w:tcW w:type="dxa" w:w="2400"/>
            <w:shd w:fill="F8FAFC" w:val="clear"/>
          </w:tcPr>
          <w:p>
            <w:pPr>
              <w:spacing w:after="60"/>
              <w:jc w:val="both"/>
            </w:pPr>
            <w:r>
              <w:rPr>
                <w:rFonts w:ascii="Calibri" w:cs="Calibri" w:eastAsia="Calibri" w:hAnsi="Calibri"/>
                <w:sz w:val="21"/>
                <w:szCs w:val="21"/>
              </w:rPr>
              <w:t xml:space="preserve">AUTOMATED_EXECUTION / HUMAN_REVIEW / DEFERRED</w:t>
            </w:r>
          </w:p>
        </w:tc>
        <w:tc>
          <w:tcPr>
            <w:tcW w:type="dxa" w:w="3260"/>
            <w:shd w:fill="F8FAFC" w:val="clear"/>
          </w:tcPr>
          <w:p>
            <w:pPr>
              <w:spacing w:after="60"/>
              <w:jc w:val="both"/>
            </w:pPr>
            <w:r>
              <w:rPr>
                <w:rFonts w:ascii="Calibri" w:cs="Calibri" w:eastAsia="Calibri" w:hAnsi="Calibri"/>
                <w:sz w:val="21"/>
                <w:szCs w:val="21"/>
              </w:rPr>
              <w:t xml:space="preserve">Rule IDs, outcomes per rule, conflict resolution applied</w:t>
            </w:r>
          </w:p>
        </w:tc>
      </w:tr>
      <w:tr>
        <w:tc>
          <w:tcPr>
            <w:tcW w:type="dxa" w:w="1600"/>
            <w:shd w:fill="FFFFFF" w:val="clear"/>
          </w:tcPr>
          <w:p>
            <w:pPr>
              <w:spacing w:after="60"/>
              <w:jc w:val="both"/>
            </w:pPr>
            <w:r>
              <w:rPr>
                <w:rFonts w:ascii="Calibri" w:cs="Calibri" w:eastAsia="Calibri" w:hAnsi="Calibri"/>
                <w:sz w:val="21"/>
                <w:szCs w:val="21"/>
              </w:rPr>
              <w:t xml:space="preserve">AUTOMATED_EXECUTION</w:t>
            </w:r>
          </w:p>
        </w:tc>
        <w:tc>
          <w:tcPr>
            <w:tcW w:type="dxa" w:w="2100"/>
            <w:shd w:fill="FFFFFF" w:val="clear"/>
          </w:tcPr>
          <w:p>
            <w:pPr>
              <w:spacing w:after="60"/>
              <w:jc w:val="both"/>
            </w:pPr>
            <w:r>
              <w:rPr>
                <w:rFonts w:ascii="Calibri" w:cs="Calibri" w:eastAsia="Calibri" w:hAnsi="Calibri"/>
                <w:sz w:val="21"/>
                <w:szCs w:val="21"/>
              </w:rPr>
              <w:t xml:space="preserve">Decision outcome confirmed; no human review required</w:t>
            </w:r>
          </w:p>
        </w:tc>
        <w:tc>
          <w:tcPr>
            <w:tcW w:type="dxa" w:w="2400"/>
            <w:shd w:fill="FFFFFF" w:val="clear"/>
          </w:tcPr>
          <w:p>
            <w:pPr>
              <w:spacing w:after="60"/>
              <w:jc w:val="both"/>
            </w:pPr>
            <w:r>
              <w:rPr>
                <w:rFonts w:ascii="Calibri" w:cs="Calibri" w:eastAsia="Calibri" w:hAnsi="Calibri"/>
                <w:sz w:val="21"/>
                <w:szCs w:val="21"/>
              </w:rPr>
              <w:t xml:space="preserve">COMPLETE on success; COMPENSATED on failure</w:t>
            </w:r>
          </w:p>
        </w:tc>
        <w:tc>
          <w:tcPr>
            <w:tcW w:type="dxa" w:w="3260"/>
            <w:shd w:fill="FFFFFF" w:val="clear"/>
          </w:tcPr>
          <w:p>
            <w:pPr>
              <w:spacing w:after="60"/>
              <w:jc w:val="both"/>
            </w:pPr>
            <w:r>
              <w:rPr>
                <w:rFonts w:ascii="Calibri" w:cs="Calibri" w:eastAsia="Calibri" w:hAnsi="Calibri"/>
                <w:sz w:val="21"/>
                <w:szCs w:val="21"/>
              </w:rPr>
              <w:t xml:space="preserve">Workflow steps, API calls, execution timestamps</w:t>
            </w:r>
          </w:p>
        </w:tc>
      </w:tr>
      <w:tr>
        <w:tc>
          <w:tcPr>
            <w:tcW w:type="dxa" w:w="1600"/>
            <w:shd w:fill="F8FAFC" w:val="clear"/>
          </w:tcPr>
          <w:p>
            <w:pPr>
              <w:spacing w:after="60"/>
              <w:jc w:val="both"/>
            </w:pPr>
            <w:r>
              <w:rPr>
                <w:rFonts w:ascii="Calibri" w:cs="Calibri" w:eastAsia="Calibri" w:hAnsi="Calibri"/>
                <w:sz w:val="21"/>
                <w:szCs w:val="21"/>
              </w:rPr>
              <w:t xml:space="preserve">HUMAN_REVIEW</w:t>
            </w:r>
          </w:p>
        </w:tc>
        <w:tc>
          <w:tcPr>
            <w:tcW w:type="dxa" w:w="2100"/>
            <w:shd w:fill="F8FAFC" w:val="clear"/>
          </w:tcPr>
          <w:p>
            <w:pPr>
              <w:spacing w:after="60"/>
              <w:jc w:val="both"/>
            </w:pPr>
            <w:r>
              <w:rPr>
                <w:rFonts w:ascii="Calibri" w:cs="Calibri" w:eastAsia="Calibri" w:hAnsi="Calibri"/>
                <w:sz w:val="21"/>
                <w:szCs w:val="21"/>
              </w:rPr>
              <w:t xml:space="preserve">Decision requires human judgment or regulatory threshold</w:t>
            </w:r>
          </w:p>
        </w:tc>
        <w:tc>
          <w:tcPr>
            <w:tcW w:type="dxa" w:w="2400"/>
            <w:shd w:fill="F8FAFC" w:val="clear"/>
          </w:tcPr>
          <w:p>
            <w:pPr>
              <w:spacing w:after="60"/>
              <w:jc w:val="both"/>
            </w:pPr>
            <w:r>
              <w:rPr>
                <w:rFonts w:ascii="Calibri" w:cs="Calibri" w:eastAsia="Calibri" w:hAnsi="Calibri"/>
                <w:sz w:val="21"/>
                <w:szCs w:val="21"/>
              </w:rPr>
              <w:t xml:space="preserve">COMPLETE on reviewer decision</w:t>
            </w:r>
          </w:p>
        </w:tc>
        <w:tc>
          <w:tcPr>
            <w:tcW w:type="dxa" w:w="3260"/>
            <w:shd w:fill="F8FAFC" w:val="clear"/>
          </w:tcPr>
          <w:p>
            <w:pPr>
              <w:spacing w:after="60"/>
              <w:jc w:val="both"/>
            </w:pPr>
            <w:r>
              <w:rPr>
                <w:rFonts w:ascii="Calibri" w:cs="Calibri" w:eastAsia="Calibri" w:hAnsi="Calibri"/>
                <w:sz w:val="21"/>
                <w:szCs w:val="21"/>
              </w:rPr>
              <w:t xml:space="preserve">Reviewer identity, review duration, decision, override rationale</w:t>
            </w:r>
          </w:p>
        </w:tc>
      </w:tr>
      <w:tr>
        <w:tc>
          <w:tcPr>
            <w:tcW w:type="dxa" w:w="1600"/>
            <w:shd w:fill="FFFFFF" w:val="clear"/>
          </w:tcPr>
          <w:p>
            <w:pPr>
              <w:spacing w:after="60"/>
              <w:jc w:val="both"/>
            </w:pPr>
            <w:r>
              <w:rPr>
                <w:rFonts w:ascii="Calibri" w:cs="Calibri" w:eastAsia="Calibri" w:hAnsi="Calibri"/>
                <w:sz w:val="21"/>
                <w:szCs w:val="21"/>
              </w:rPr>
              <w:t xml:space="preserve">DEFERRED</w:t>
            </w:r>
          </w:p>
        </w:tc>
        <w:tc>
          <w:tcPr>
            <w:tcW w:type="dxa" w:w="2100"/>
            <w:shd w:fill="FFFFFF" w:val="clear"/>
          </w:tcPr>
          <w:p>
            <w:pPr>
              <w:spacing w:after="60"/>
              <w:jc w:val="both"/>
            </w:pPr>
            <w:r>
              <w:rPr>
                <w:rFonts w:ascii="Calibri" w:cs="Calibri" w:eastAsia="Calibri" w:hAnsi="Calibri"/>
                <w:sz w:val="21"/>
                <w:szCs w:val="21"/>
              </w:rPr>
              <w:t xml:space="preserve">Decision requires additional context or time</w:t>
            </w:r>
          </w:p>
        </w:tc>
        <w:tc>
          <w:tcPr>
            <w:tcW w:type="dxa" w:w="2400"/>
            <w:shd w:fill="FFFFFF" w:val="clear"/>
          </w:tcPr>
          <w:p>
            <w:pPr>
              <w:spacing w:after="60"/>
              <w:jc w:val="both"/>
            </w:pPr>
            <w:r>
              <w:rPr>
                <w:rFonts w:ascii="Calibri" w:cs="Calibri" w:eastAsia="Calibri" w:hAnsi="Calibri"/>
                <w:sz w:val="21"/>
                <w:szCs w:val="21"/>
              </w:rPr>
              <w:t xml:space="preserve">COMPLETE on resolution</w:t>
            </w:r>
          </w:p>
        </w:tc>
        <w:tc>
          <w:tcPr>
            <w:tcW w:type="dxa" w:w="3260"/>
            <w:shd w:fill="FFFFFF" w:val="clear"/>
          </w:tcPr>
          <w:p>
            <w:pPr>
              <w:spacing w:after="60"/>
              <w:jc w:val="both"/>
            </w:pPr>
            <w:r>
              <w:rPr>
                <w:rFonts w:ascii="Calibri" w:cs="Calibri" w:eastAsia="Calibri" w:hAnsi="Calibri"/>
                <w:sz w:val="21"/>
                <w:szCs w:val="21"/>
              </w:rPr>
              <w:t xml:space="preserve">Deferral reason, expiry, resolution path</w:t>
            </w:r>
          </w:p>
        </w:tc>
      </w:tr>
      <w:tr>
        <w:tc>
          <w:tcPr>
            <w:tcW w:type="dxa" w:w="1600"/>
            <w:shd w:fill="F8FAFC" w:val="clear"/>
          </w:tcPr>
          <w:p>
            <w:pPr>
              <w:spacing w:after="60"/>
              <w:jc w:val="both"/>
            </w:pPr>
            <w:r>
              <w:rPr>
                <w:rFonts w:ascii="Calibri" w:cs="Calibri" w:eastAsia="Calibri" w:hAnsi="Calibri"/>
                <w:sz w:val="21"/>
                <w:szCs w:val="21"/>
              </w:rPr>
              <w:t xml:space="preserve">COMPLETE</w:t>
            </w:r>
          </w:p>
        </w:tc>
        <w:tc>
          <w:tcPr>
            <w:tcW w:type="dxa" w:w="2100"/>
            <w:shd w:fill="F8FAFC" w:val="clear"/>
          </w:tcPr>
          <w:p>
            <w:pPr>
              <w:spacing w:after="60"/>
              <w:jc w:val="both"/>
            </w:pPr>
            <w:r>
              <w:rPr>
                <w:rFonts w:ascii="Calibri" w:cs="Calibri" w:eastAsia="Calibri" w:hAnsi="Calibri"/>
                <w:sz w:val="21"/>
                <w:szCs w:val="21"/>
              </w:rPr>
              <w:t xml:space="preserve">All execution steps finished and recorded</w:t>
            </w:r>
          </w:p>
        </w:tc>
        <w:tc>
          <w:tcPr>
            <w:tcW w:type="dxa" w:w="2400"/>
            <w:shd w:fill="F8FAFC" w:val="clear"/>
          </w:tcPr>
          <w:p>
            <w:pPr>
              <w:spacing w:after="60"/>
              <w:jc w:val="both"/>
            </w:pPr>
            <w:r>
              <w:rPr>
                <w:rFonts w:ascii="Calibri" w:cs="Calibri" w:eastAsia="Calibri" w:hAnsi="Calibri"/>
                <w:sz w:val="21"/>
                <w:szCs w:val="21"/>
              </w:rPr>
              <w:t xml:space="preserve">Terminal state</w:t>
            </w:r>
          </w:p>
        </w:tc>
        <w:tc>
          <w:tcPr>
            <w:tcW w:type="dxa" w:w="3260"/>
            <w:shd w:fill="F8FAFC" w:val="clear"/>
          </w:tcPr>
          <w:p>
            <w:pPr>
              <w:spacing w:after="60"/>
              <w:jc w:val="both"/>
            </w:pPr>
            <w:r>
              <w:rPr>
                <w:rFonts w:ascii="Calibri" w:cs="Calibri" w:eastAsia="Calibri" w:hAnsi="Calibri"/>
                <w:sz w:val="21"/>
                <w:szCs w:val="21"/>
              </w:rPr>
              <w:t xml:space="preserve">SHA-256 integrity hash over all preceding sections</w:t>
            </w:r>
          </w:p>
        </w:tc>
      </w:tr>
      <w:tr>
        <w:tc>
          <w:tcPr>
            <w:tcW w:type="dxa" w:w="1600"/>
            <w:shd w:fill="FFFFFF" w:val="clear"/>
          </w:tcPr>
          <w:p>
            <w:pPr>
              <w:spacing w:after="60"/>
              <w:jc w:val="both"/>
            </w:pPr>
            <w:r>
              <w:rPr>
                <w:rFonts w:ascii="Calibri" w:cs="Calibri" w:eastAsia="Calibri" w:hAnsi="Calibri"/>
                <w:sz w:val="21"/>
                <w:szCs w:val="21"/>
              </w:rPr>
              <w:t xml:space="preserve">COMPENSATED</w:t>
            </w:r>
          </w:p>
        </w:tc>
        <w:tc>
          <w:tcPr>
            <w:tcW w:type="dxa" w:w="2100"/>
            <w:shd w:fill="FFFFFF" w:val="clear"/>
          </w:tcPr>
          <w:p>
            <w:pPr>
              <w:spacing w:after="60"/>
              <w:jc w:val="both"/>
            </w:pPr>
            <w:r>
              <w:rPr>
                <w:rFonts w:ascii="Calibri" w:cs="Calibri" w:eastAsia="Calibri" w:hAnsi="Calibri"/>
                <w:sz w:val="21"/>
                <w:szCs w:val="21"/>
              </w:rPr>
              <w:t xml:space="preserve">Failure during AUTOMATED_EXECUTION</w:t>
            </w:r>
          </w:p>
        </w:tc>
        <w:tc>
          <w:tcPr>
            <w:tcW w:type="dxa" w:w="2400"/>
            <w:shd w:fill="FFFFFF" w:val="clear"/>
          </w:tcPr>
          <w:p>
            <w:pPr>
              <w:spacing w:after="60"/>
              <w:jc w:val="both"/>
            </w:pPr>
            <w:r>
              <w:rPr>
                <w:rFonts w:ascii="Calibri" w:cs="Calibri" w:eastAsia="Calibri" w:hAnsi="Calibri"/>
                <w:sz w:val="21"/>
                <w:szCs w:val="21"/>
              </w:rPr>
              <w:t xml:space="preserve">Terminal state</w:t>
            </w:r>
          </w:p>
        </w:tc>
        <w:tc>
          <w:tcPr>
            <w:tcW w:type="dxa" w:w="3260"/>
            <w:shd w:fill="FFFFFF" w:val="clear"/>
          </w:tcPr>
          <w:p>
            <w:pPr>
              <w:spacing w:after="60"/>
              <w:jc w:val="both"/>
            </w:pPr>
            <w:r>
              <w:rPr>
                <w:rFonts w:ascii="Calibri" w:cs="Calibri" w:eastAsia="Calibri" w:hAnsi="Calibri"/>
                <w:sz w:val="21"/>
                <w:szCs w:val="21"/>
              </w:rPr>
              <w:t xml:space="preserve">Failure cause, compensating transactions executed, downstream system states restored</w:t>
            </w:r>
          </w:p>
        </w:tc>
      </w:tr>
    </w:tbl>
    <w:p>
      <w:pPr>
        <w:shd w:fill="F4F4F4" w:val="clear"/>
        <w:spacing w:before="120" w:after="120" w:line="320"/>
        <w:ind w:left="480"/>
      </w:pPr>
      <w:r>
        <w:rPr>
          <w:rFonts w:ascii="Courier New" w:cs="Courier New" w:eastAsia="Courier New" w:hAnsi="Courier New"/>
          <w:color w:val="1a1a2e"/>
          <w:sz w:val="18"/>
          <w:szCs w:val="18"/>
        </w:rPr>
        <w:t xml:space="preserve">State Machine Invariants:
  1. Every state transition is atomic and durable
  2. Every transition produces an immutable audit record before completing
  3. The DCID is present in every audit record under a single decision lifecycle
  4. COMPENSATED is reachable only from AUTOMATED_EXECUTION
  5. COMPLETE and COMPENSATED are terminal states
  6. SHA-256 hash in COMPLETE is computed over all audit records from states 1 through 7</w:t>
      </w:r>
    </w:p>
    <w:p>
      <w:pPr>
        <w:spacing w:after="300"/>
        <w:jc w:val="center"/>
      </w:pPr>
      <w:r>
        <w:rPr>
          <w:rFonts w:ascii="Calibri" w:cs="Calibri" w:eastAsia="Calibri" w:hAnsi="Calibri"/>
          <w:i/>
          <w:iCs/>
          <w:color w:val="555555"/>
          <w:sz w:val="20"/>
          <w:szCs w:val="20"/>
        </w:rPr>
        <w:t xml:space="preserve">Figure 2. DOL state machine invariants. These properties are guaranteed by the architecture, not by operational discipline.</w:t>
      </w:r>
    </w:p>
    <w:p>
      <w:pPr>
        <w:pBdr>
          <w:bottom w:val="single" w:color="0F3460" w:sz="4"/>
        </w:pBdr>
        <w:spacing w:before="480" w:after="180"/>
      </w:pPr>
      <w:r>
        <w:rPr>
          <w:rFonts w:ascii="Calibri" w:cs="Calibri" w:eastAsia="Calibri" w:hAnsi="Calibri"/>
          <w:b/>
          <w:bCs/>
          <w:color w:val="0F3460"/>
          <w:sz w:val="26"/>
          <w:szCs w:val="26"/>
        </w:rPr>
        <w:t xml:space="preserve">4. THE ANALYTICS ARCHITECTURE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600"/>
        <w:gridCol w:w="2660"/>
      </w:tblGrid>
      <w:tr>
        <w:tc>
          <w:tcPr>
            <w:tcW w:type="dxa" w:w="1800"/>
            <w:shd w:fill="0F3460" w:val="clear"/>
          </w:tcPr>
          <w:p>
            <w:pPr>
              <w:spacing w:after="60"/>
            </w:pPr>
            <w:r>
              <w:rPr>
                <w:rFonts w:ascii="Calibri" w:cs="Calibri" w:eastAsia="Calibri" w:hAnsi="Calibri"/>
                <w:b/>
                <w:bCs/>
                <w:color w:val="FFFFFF"/>
                <w:sz w:val="21"/>
                <w:szCs w:val="21"/>
              </w:rPr>
              <w:t xml:space="preserve">Layer</w:t>
            </w:r>
          </w:p>
        </w:tc>
        <w:tc>
          <w:tcPr>
            <w:tcW w:type="dxa" w:w="2300"/>
            <w:shd w:fill="0F3460" w:val="clear"/>
          </w:tcPr>
          <w:p>
            <w:pPr>
              <w:spacing w:after="60"/>
            </w:pPr>
            <w:r>
              <w:rPr>
                <w:rFonts w:ascii="Calibri" w:cs="Calibri" w:eastAsia="Calibri" w:hAnsi="Calibri"/>
                <w:b/>
                <w:bCs/>
                <w:color w:val="FFFFFF"/>
                <w:sz w:val="21"/>
                <w:szCs w:val="21"/>
              </w:rPr>
              <w:t xml:space="preserve">Analytics role</w:t>
            </w:r>
          </w:p>
        </w:tc>
        <w:tc>
          <w:tcPr>
            <w:tcW w:type="dxa" w:w="2600"/>
            <w:shd w:fill="0F3460" w:val="clear"/>
          </w:tcPr>
          <w:p>
            <w:pPr>
              <w:spacing w:after="60"/>
            </w:pPr>
            <w:r>
              <w:rPr>
                <w:rFonts w:ascii="Calibri" w:cs="Calibri" w:eastAsia="Calibri" w:hAnsi="Calibri"/>
                <w:b/>
                <w:bCs/>
                <w:color w:val="FFFFFF"/>
                <w:sz w:val="21"/>
                <w:szCs w:val="21"/>
              </w:rPr>
              <w:t xml:space="preserve">Decision intelligence role</w:t>
            </w:r>
          </w:p>
        </w:tc>
        <w:tc>
          <w:tcPr>
            <w:tcW w:type="dxa" w:w="2660"/>
            <w:shd w:fill="0F3460" w:val="clear"/>
          </w:tcPr>
          <w:p>
            <w:pPr>
              <w:spacing w:after="60"/>
            </w:pPr>
            <w:r>
              <w:rPr>
                <w:rFonts w:ascii="Calibri" w:cs="Calibri" w:eastAsia="Calibri" w:hAnsi="Calibri"/>
                <w:b/>
                <w:bCs/>
                <w:color w:val="FFFFFF"/>
                <w:sz w:val="21"/>
                <w:szCs w:val="21"/>
              </w:rPr>
              <w:t xml:space="preserve">Interface</w:t>
            </w:r>
          </w:p>
        </w:tc>
      </w:tr>
      <w:tr>
        <w:tc>
          <w:tcPr>
            <w:tcW w:type="dxa" w:w="1800"/>
            <w:shd w:fill="FFFFFF" w:val="clear"/>
          </w:tcPr>
          <w:p>
            <w:pPr>
              <w:spacing w:after="60"/>
              <w:jc w:val="both"/>
            </w:pPr>
            <w:r>
              <w:rPr>
                <w:rFonts w:ascii="Calibri" w:cs="Calibri" w:eastAsia="Calibri" w:hAnsi="Calibri"/>
                <w:sz w:val="21"/>
                <w:szCs w:val="21"/>
              </w:rPr>
              <w:t xml:space="preserve">Data and Knowledge Layer (L2)</w:t>
            </w:r>
          </w:p>
        </w:tc>
        <w:tc>
          <w:tcPr>
            <w:tcW w:type="dxa" w:w="2300"/>
            <w:shd w:fill="FFFFFF" w:val="clear"/>
          </w:tcPr>
          <w:p>
            <w:pPr>
              <w:spacing w:after="60"/>
              <w:jc w:val="both"/>
            </w:pPr>
            <w:r>
              <w:rPr>
                <w:rFonts w:ascii="Calibri" w:cs="Calibri" w:eastAsia="Calibri" w:hAnsi="Calibri"/>
                <w:sz w:val="21"/>
                <w:szCs w:val="21"/>
              </w:rPr>
              <w:t xml:space="preserve">Feature engineering, data persistence, knowledge graph</w:t>
            </w:r>
          </w:p>
        </w:tc>
        <w:tc>
          <w:tcPr>
            <w:tcW w:type="dxa" w:w="2600"/>
            <w:shd w:fill="FFFFFF" w:val="clear"/>
          </w:tcPr>
          <w:p>
            <w:pPr>
              <w:spacing w:after="60"/>
              <w:jc w:val="both"/>
            </w:pPr>
            <w:r>
              <w:rPr>
                <w:rFonts w:ascii="Calibri" w:cs="Calibri" w:eastAsia="Calibri" w:hAnsi="Calibri"/>
                <w:sz w:val="21"/>
                <w:szCs w:val="21"/>
              </w:rPr>
              <w:t xml:space="preserve">Unified feature registry ensures training-serving consistency</w:t>
            </w:r>
          </w:p>
        </w:tc>
        <w:tc>
          <w:tcPr>
            <w:tcW w:type="dxa" w:w="2660"/>
            <w:shd w:fill="FFFFFF" w:val="clear"/>
          </w:tcPr>
          <w:p>
            <w:pPr>
              <w:spacing w:after="60"/>
              <w:jc w:val="both"/>
            </w:pPr>
            <w:r>
              <w:rPr>
                <w:rFonts w:ascii="Calibri" w:cs="Calibri" w:eastAsia="Calibri" w:hAnsi="Calibri"/>
                <w:sz w:val="21"/>
                <w:szCs w:val="21"/>
              </w:rPr>
              <w:t xml:space="preserve">Feature values and knowledge context to L3</w:t>
            </w:r>
          </w:p>
        </w:tc>
      </w:tr>
      <w:tr>
        <w:tc>
          <w:tcPr>
            <w:tcW w:type="dxa" w:w="1800"/>
            <w:shd w:fill="F8FAFC" w:val="clear"/>
          </w:tcPr>
          <w:p>
            <w:pPr>
              <w:spacing w:after="60"/>
              <w:jc w:val="both"/>
            </w:pPr>
            <w:r>
              <w:rPr>
                <w:rFonts w:ascii="Calibri" w:cs="Calibri" w:eastAsia="Calibri" w:hAnsi="Calibri"/>
                <w:sz w:val="21"/>
                <w:szCs w:val="21"/>
              </w:rPr>
              <w:t xml:space="preserve">Intelligence Layer (L3)</w:t>
            </w:r>
          </w:p>
        </w:tc>
        <w:tc>
          <w:tcPr>
            <w:tcW w:type="dxa" w:w="2300"/>
            <w:shd w:fill="F8FAFC" w:val="clear"/>
          </w:tcPr>
          <w:p>
            <w:pPr>
              <w:spacing w:after="60"/>
              <w:jc w:val="both"/>
            </w:pPr>
            <w:r>
              <w:rPr>
                <w:rFonts w:ascii="Calibri" w:cs="Calibri" w:eastAsia="Calibri" w:hAnsi="Calibri"/>
                <w:sz w:val="21"/>
                <w:szCs w:val="21"/>
              </w:rPr>
              <w:t xml:space="preserve">Model inference, multi-model orchestration, drift detection</w:t>
            </w:r>
          </w:p>
        </w:tc>
        <w:tc>
          <w:tcPr>
            <w:tcW w:type="dxa" w:w="2600"/>
            <w:shd w:fill="F8FAFC" w:val="clear"/>
          </w:tcPr>
          <w:p>
            <w:pPr>
              <w:spacing w:after="60"/>
              <w:jc w:val="both"/>
            </w:pPr>
            <w:r>
              <w:rPr>
                <w:rFonts w:ascii="Calibri" w:cs="Calibri" w:eastAsia="Calibri" w:hAnsi="Calibri"/>
                <w:sz w:val="21"/>
                <w:szCs w:val="21"/>
              </w:rPr>
              <w:t xml:space="preserve">Produces inference scores as first-class decision inputs, not outputs</w:t>
            </w:r>
          </w:p>
        </w:tc>
        <w:tc>
          <w:tcPr>
            <w:tcW w:type="dxa" w:w="2660"/>
            <w:shd w:fill="F8FAFC" w:val="clear"/>
          </w:tcPr>
          <w:p>
            <w:pPr>
              <w:spacing w:after="60"/>
              <w:jc w:val="both"/>
            </w:pPr>
            <w:r>
              <w:rPr>
                <w:rFonts w:ascii="Calibri" w:cs="Calibri" w:eastAsia="Calibri" w:hAnsi="Calibri"/>
                <w:sz w:val="21"/>
                <w:szCs w:val="21"/>
              </w:rPr>
              <w:t xml:space="preserve">Inference scores to DOL Rules Engine as input variables</w:t>
            </w:r>
          </w:p>
        </w:tc>
      </w:tr>
      <w:tr>
        <w:tc>
          <w:tcPr>
            <w:tcW w:type="dxa" w:w="1800"/>
            <w:shd w:fill="FFFFFF" w:val="clear"/>
          </w:tcPr>
          <w:p>
            <w:pPr>
              <w:spacing w:after="60"/>
              <w:jc w:val="both"/>
            </w:pPr>
            <w:r>
              <w:rPr>
                <w:rFonts w:ascii="Calibri" w:cs="Calibri" w:eastAsia="Calibri" w:hAnsi="Calibri"/>
                <w:sz w:val="21"/>
                <w:szCs w:val="21"/>
              </w:rPr>
              <w:t xml:space="preserve">Decision Orchestration Layer (L4)</w:t>
            </w:r>
          </w:p>
        </w:tc>
        <w:tc>
          <w:tcPr>
            <w:tcW w:type="dxa" w:w="2300"/>
            <w:shd w:fill="FFFFFF" w:val="clear"/>
          </w:tcPr>
          <w:p>
            <w:pPr>
              <w:spacing w:after="60"/>
              <w:jc w:val="both"/>
            </w:pPr>
            <w:r>
              <w:rPr>
                <w:rFonts w:ascii="Calibri" w:cs="Calibri" w:eastAsia="Calibri" w:hAnsi="Calibri"/>
                <w:sz w:val="21"/>
                <w:szCs w:val="21"/>
              </w:rPr>
              <w:t xml:space="preserve">Integrates analytics outputs with policy and context</w:t>
            </w:r>
          </w:p>
        </w:tc>
        <w:tc>
          <w:tcPr>
            <w:tcW w:type="dxa" w:w="2600"/>
            <w:shd w:fill="FFFFFF" w:val="clear"/>
          </w:tcPr>
          <w:p>
            <w:pPr>
              <w:spacing w:after="60"/>
              <w:jc w:val="both"/>
            </w:pPr>
            <w:r>
              <w:rPr>
                <w:rFonts w:ascii="Calibri" w:cs="Calibri" w:eastAsia="Calibri" w:hAnsi="Calibri"/>
                <w:sz w:val="21"/>
                <w:szCs w:val="21"/>
              </w:rPr>
              <w:t xml:space="preserve">Produces governed decision with complete audit record</w:t>
            </w:r>
          </w:p>
        </w:tc>
        <w:tc>
          <w:tcPr>
            <w:tcW w:type="dxa" w:w="2660"/>
            <w:shd w:fill="FFFFFF" w:val="clear"/>
          </w:tcPr>
          <w:p>
            <w:pPr>
              <w:spacing w:after="60"/>
              <w:jc w:val="both"/>
            </w:pPr>
            <w:r>
              <w:rPr>
                <w:rFonts w:ascii="Calibri" w:cs="Calibri" w:eastAsia="Calibri" w:hAnsi="Calibri"/>
                <w:sz w:val="21"/>
                <w:szCs w:val="21"/>
              </w:rPr>
              <w:t xml:space="preserve">Decision Object to L5</w:t>
            </w:r>
          </w:p>
        </w:tc>
      </w:tr>
      <w:tr>
        <w:tc>
          <w:tcPr>
            <w:tcW w:type="dxa" w:w="1800"/>
            <w:shd w:fill="F8FAFC" w:val="clear"/>
          </w:tcPr>
          <w:p>
            <w:pPr>
              <w:spacing w:after="60"/>
              <w:jc w:val="both"/>
            </w:pPr>
            <w:r>
              <w:rPr>
                <w:rFonts w:ascii="Calibri" w:cs="Calibri" w:eastAsia="Calibri" w:hAnsi="Calibri"/>
                <w:sz w:val="21"/>
                <w:szCs w:val="21"/>
              </w:rPr>
              <w:t xml:space="preserve">Experience and Integration Layer (L5)</w:t>
            </w:r>
          </w:p>
        </w:tc>
        <w:tc>
          <w:tcPr>
            <w:tcW w:type="dxa" w:w="2300"/>
            <w:shd w:fill="F8FAFC" w:val="clear"/>
          </w:tcPr>
          <w:p>
            <w:pPr>
              <w:spacing w:after="60"/>
              <w:jc w:val="both"/>
            </w:pPr>
            <w:r>
              <w:rPr>
                <w:rFonts w:ascii="Calibri" w:cs="Calibri" w:eastAsia="Calibri" w:hAnsi="Calibri"/>
                <w:sz w:val="21"/>
                <w:szCs w:val="21"/>
              </w:rPr>
              <w:t xml:space="preserve">Distributes decision outputs to consumers</w:t>
            </w:r>
          </w:p>
        </w:tc>
        <w:tc>
          <w:tcPr>
            <w:tcW w:type="dxa" w:w="2600"/>
            <w:shd w:fill="F8FAFC" w:val="clear"/>
          </w:tcPr>
          <w:p>
            <w:pPr>
              <w:spacing w:after="60"/>
              <w:jc w:val="both"/>
            </w:pPr>
            <w:r>
              <w:rPr>
                <w:rFonts w:ascii="Calibri" w:cs="Calibri" w:eastAsia="Calibri" w:hAnsi="Calibri"/>
                <w:sz w:val="21"/>
                <w:szCs w:val="21"/>
              </w:rPr>
              <w:t xml:space="preserve">Decision Object as the interface artifact, not raw scores</w:t>
            </w:r>
          </w:p>
        </w:tc>
        <w:tc>
          <w:tcPr>
            <w:tcW w:type="dxa" w:w="2660"/>
            <w:shd w:fill="F8FAFC" w:val="clear"/>
          </w:tcPr>
          <w:p>
            <w:pPr>
              <w:spacing w:after="60"/>
              <w:jc w:val="both"/>
            </w:pPr>
            <w:r>
              <w:rPr>
                <w:rFonts w:ascii="Calibri" w:cs="Calibri" w:eastAsia="Calibri" w:hAnsi="Calibri"/>
                <w:sz w:val="21"/>
                <w:szCs w:val="21"/>
              </w:rPr>
              <w:t xml:space="preserve">REST, events, webhooks, dashboard</w:t>
            </w:r>
          </w:p>
        </w:tc>
      </w:tr>
    </w:tbl>
    <w:p>
      <w:pPr>
        <w:pBdr>
          <w:bottom w:val="single" w:color="0F3460" w:sz="4"/>
        </w:pBdr>
        <w:spacing w:before="480" w:after="180"/>
      </w:pPr>
      <w:r>
        <w:rPr>
          <w:rFonts w:ascii="Calibri" w:cs="Calibri" w:eastAsia="Calibri" w:hAnsi="Calibri"/>
          <w:b/>
          <w:bCs/>
          <w:color w:val="0F3460"/>
          <w:sz w:val="26"/>
          <w:szCs w:val="26"/>
        </w:rPr>
        <w:t xml:space="preserve">5. THE ANALYTICAL CASE FOR DECISION-CENTRIC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shd w:fill="0F3460" w:val="clear"/>
          </w:tcPr>
          <w:p>
            <w:pPr>
              <w:spacing w:after="60"/>
            </w:pPr>
            <w:r>
              <w:rPr>
                <w:rFonts w:ascii="Calibri" w:cs="Calibri" w:eastAsia="Calibri" w:hAnsi="Calibri"/>
                <w:b/>
                <w:bCs/>
                <w:color w:val="FFFFFF"/>
                <w:sz w:val="21"/>
                <w:szCs w:val="21"/>
              </w:rPr>
              <w:t xml:space="preserve">Structural problem</w:t>
            </w:r>
          </w:p>
        </w:tc>
        <w:tc>
          <w:tcPr>
            <w:tcW w:type="dxa" w:w="3200"/>
            <w:shd w:fill="0F3460" w:val="clear"/>
          </w:tcPr>
          <w:p>
            <w:pPr>
              <w:spacing w:after="60"/>
            </w:pPr>
            <w:r>
              <w:rPr>
                <w:rFonts w:ascii="Calibri" w:cs="Calibri" w:eastAsia="Calibri" w:hAnsi="Calibri"/>
                <w:b/>
                <w:bCs/>
                <w:color w:val="FFFFFF"/>
                <w:sz w:val="21"/>
                <w:szCs w:val="21"/>
              </w:rPr>
              <w:t xml:space="preserve">Why analytics-centric design cannot solve it</w:t>
            </w:r>
          </w:p>
        </w:tc>
        <w:tc>
          <w:tcPr>
            <w:tcW w:type="dxa" w:w="3960"/>
            <w:shd w:fill="0F3460" w:val="clear"/>
          </w:tcPr>
          <w:p>
            <w:pPr>
              <w:spacing w:after="60"/>
            </w:pPr>
            <w:r>
              <w:rPr>
                <w:rFonts w:ascii="Calibri" w:cs="Calibri" w:eastAsia="Calibri" w:hAnsi="Calibri"/>
                <w:b/>
                <w:bCs/>
                <w:color w:val="FFFFFF"/>
                <w:sz w:val="21"/>
                <w:szCs w:val="21"/>
              </w:rPr>
              <w:t xml:space="preserve">How U-AEDIA solves it</w:t>
            </w:r>
          </w:p>
        </w:tc>
      </w:tr>
      <w:tr>
        <w:tc>
          <w:tcPr>
            <w:tcW w:type="dxa" w:w="2200"/>
            <w:shd w:fill="FFFFFF" w:val="clear"/>
          </w:tcPr>
          <w:p>
            <w:pPr>
              <w:spacing w:after="60"/>
              <w:jc w:val="both"/>
            </w:pPr>
            <w:r>
              <w:rPr>
                <w:rFonts w:ascii="Calibri" w:cs="Calibri" w:eastAsia="Calibri" w:hAnsi="Calibri"/>
                <w:sz w:val="21"/>
                <w:szCs w:val="21"/>
              </w:rPr>
              <w:t xml:space="preserve">AI outputs lack organizational context</w:t>
            </w:r>
          </w:p>
        </w:tc>
        <w:tc>
          <w:tcPr>
            <w:tcW w:type="dxa" w:w="3200"/>
            <w:shd w:fill="FFFFFF" w:val="clear"/>
          </w:tcPr>
          <w:p>
            <w:pPr>
              <w:spacing w:after="60"/>
              <w:jc w:val="both"/>
            </w:pPr>
            <w:r>
              <w:rPr>
                <w:rFonts w:ascii="Calibri" w:cs="Calibri" w:eastAsia="Calibri" w:hAnsi="Calibri"/>
                <w:sz w:val="21"/>
                <w:szCs w:val="21"/>
              </w:rPr>
              <w:t xml:space="preserve">Analytics systems produce statistically correct outputs. Whether those outputs are consistent with current organizational policies, prior decisions about this entity, and active regulatory constraints is outside the scope of an analytics system.</w:t>
            </w:r>
          </w:p>
        </w:tc>
        <w:tc>
          <w:tcPr>
            <w:tcW w:type="dxa" w:w="3960"/>
            <w:shd w:fill="FFFFFF" w:val="clear"/>
          </w:tcPr>
          <w:p>
            <w:pPr>
              <w:spacing w:after="60"/>
              <w:jc w:val="both"/>
            </w:pPr>
            <w:r>
              <w:rPr>
                <w:rFonts w:ascii="Calibri" w:cs="Calibri" w:eastAsia="Calibri" w:hAnsi="Calibri"/>
                <w:sz w:val="21"/>
                <w:szCs w:val="21"/>
              </w:rPr>
              <w:t xml:space="preserve">The Knowledge Graph in Layer 2 stores business rules, policies, and historical decisions. Every decision consults this context before execution.</w:t>
            </w:r>
          </w:p>
        </w:tc>
      </w:tr>
      <w:tr>
        <w:tc>
          <w:tcPr>
            <w:tcW w:type="dxa" w:w="2200"/>
            <w:shd w:fill="F8FAFC" w:val="clear"/>
          </w:tcPr>
          <w:p>
            <w:pPr>
              <w:spacing w:after="60"/>
              <w:jc w:val="both"/>
            </w:pPr>
            <w:r>
              <w:rPr>
                <w:rFonts w:ascii="Calibri" w:cs="Calibri" w:eastAsia="Calibri" w:hAnsi="Calibri"/>
                <w:sz w:val="21"/>
                <w:szCs w:val="21"/>
              </w:rPr>
              <w:t xml:space="preserve">No unified audit record</w:t>
            </w:r>
          </w:p>
        </w:tc>
        <w:tc>
          <w:tcPr>
            <w:tcW w:type="dxa" w:w="3200"/>
            <w:shd w:fill="F8FAFC" w:val="clear"/>
          </w:tcPr>
          <w:p>
            <w:pPr>
              <w:spacing w:after="60"/>
              <w:jc w:val="both"/>
            </w:pPr>
            <w:r>
              <w:rPr>
                <w:rFonts w:ascii="Calibri" w:cs="Calibri" w:eastAsia="Calibri" w:hAnsi="Calibri"/>
                <w:sz w:val="21"/>
                <w:szCs w:val="21"/>
              </w:rPr>
              <w:t xml:space="preserve">When analytics, ML inference, and workflow execution live in separate systems, producing a complete audit record requires correlating logs across all three -- a reconstruction exercise that is error-prone and time-consuming.</w:t>
            </w:r>
          </w:p>
        </w:tc>
        <w:tc>
          <w:tcPr>
            <w:tcW w:type="dxa" w:w="3960"/>
            <w:shd w:fill="F8FAFC" w:val="clear"/>
          </w:tcPr>
          <w:p>
            <w:pPr>
              <w:spacing w:after="60"/>
              <w:jc w:val="both"/>
            </w:pPr>
            <w:r>
              <w:rPr>
                <w:rFonts w:ascii="Calibri" w:cs="Calibri" w:eastAsia="Calibri" w:hAnsi="Calibri"/>
                <w:sz w:val="21"/>
                <w:szCs w:val="21"/>
              </w:rPr>
              <w:t xml:space="preserve">The DCID propagated from ingestion means every stage's outputs are associated with the same identifier. The Decision Object is the unified audit record.</w:t>
            </w:r>
          </w:p>
        </w:tc>
      </w:tr>
      <w:tr>
        <w:tc>
          <w:tcPr>
            <w:tcW w:type="dxa" w:w="2200"/>
            <w:shd w:fill="FFFFFF" w:val="clear"/>
          </w:tcPr>
          <w:p>
            <w:pPr>
              <w:spacing w:after="60"/>
              <w:jc w:val="both"/>
            </w:pPr>
            <w:r>
              <w:rPr>
                <w:rFonts w:ascii="Calibri" w:cs="Calibri" w:eastAsia="Calibri" w:hAnsi="Calibri"/>
                <w:sz w:val="21"/>
                <w:szCs w:val="21"/>
              </w:rPr>
              <w:t xml:space="preserve">Training-serving skew</w:t>
            </w:r>
          </w:p>
        </w:tc>
        <w:tc>
          <w:tcPr>
            <w:tcW w:type="dxa" w:w="3200"/>
            <w:shd w:fill="FFFFFF" w:val="clear"/>
          </w:tcPr>
          <w:p>
            <w:pPr>
              <w:spacing w:after="60"/>
              <w:jc w:val="both"/>
            </w:pPr>
            <w:r>
              <w:rPr>
                <w:rFonts w:ascii="Calibri" w:cs="Calibri" w:eastAsia="Calibri" w:hAnsi="Calibri"/>
                <w:sz w:val="21"/>
                <w:szCs w:val="21"/>
              </w:rPr>
              <w:t xml:space="preserve">When training and serving features are computed by separate codebases, silent divergence produces systematically biased model outputs. Analytics systems have no structural mechanism to prevent this.</w:t>
            </w:r>
          </w:p>
        </w:tc>
        <w:tc>
          <w:tcPr>
            <w:tcW w:type="dxa" w:w="3960"/>
            <w:shd w:fill="FFFFFF" w:val="clear"/>
          </w:tcPr>
          <w:p>
            <w:pPr>
              <w:spacing w:after="60"/>
              <w:jc w:val="both"/>
            </w:pPr>
            <w:r>
              <w:rPr>
                <w:rFonts w:ascii="Calibri" w:cs="Calibri" w:eastAsia="Calibri" w:hAnsi="Calibri"/>
                <w:sz w:val="21"/>
                <w:szCs w:val="21"/>
              </w:rPr>
              <w:t xml:space="preserve">The unified feature definition registry makes one computation function the single source of truth for both paths. Divergence is rejected at submission time.</w:t>
            </w:r>
          </w:p>
        </w:tc>
      </w:tr>
      <w:tr>
        <w:tc>
          <w:tcPr>
            <w:tcW w:type="dxa" w:w="2200"/>
            <w:shd w:fill="F8FAFC" w:val="clear"/>
          </w:tcPr>
          <w:p>
            <w:pPr>
              <w:spacing w:after="60"/>
              <w:jc w:val="both"/>
            </w:pPr>
            <w:r>
              <w:rPr>
                <w:rFonts w:ascii="Calibri" w:cs="Calibri" w:eastAsia="Calibri" w:hAnsi="Calibri"/>
                <w:sz w:val="21"/>
                <w:szCs w:val="21"/>
              </w:rPr>
              <w:t xml:space="preserve">Regulatory compliance requires pre-execution enforcement</w:t>
            </w:r>
          </w:p>
        </w:tc>
        <w:tc>
          <w:tcPr>
            <w:tcW w:type="dxa" w:w="3200"/>
            <w:shd w:fill="F8FAFC" w:val="clear"/>
          </w:tcPr>
          <w:p>
            <w:pPr>
              <w:spacing w:after="60"/>
              <w:jc w:val="both"/>
            </w:pPr>
            <w:r>
              <w:rPr>
                <w:rFonts w:ascii="Calibri" w:cs="Calibri" w:eastAsia="Calibri" w:hAnsi="Calibri"/>
                <w:sz w:val="21"/>
                <w:szCs w:val="21"/>
              </w:rPr>
              <w:t xml:space="preserve">Post-hoc monitoring discovers compliance violations after actions have executed. For irreversible actions in regulated environments, this is legally insufficient.</w:t>
            </w:r>
          </w:p>
        </w:tc>
        <w:tc>
          <w:tcPr>
            <w:tcW w:type="dxa" w:w="3960"/>
            <w:shd w:fill="F8FAFC" w:val="clear"/>
          </w:tcPr>
          <w:p>
            <w:pPr>
              <w:spacing w:after="60"/>
              <w:jc w:val="both"/>
            </w:pPr>
            <w:r>
              <w:rPr>
                <w:rFonts w:ascii="Calibri" w:cs="Calibri" w:eastAsia="Calibri" w:hAnsi="Calibri"/>
                <w:sz w:val="21"/>
                <w:szCs w:val="21"/>
              </w:rPr>
              <w:t xml:space="preserve">Rules Engine evaluation happens within the DOL before execution. Compliance is enforced before the action, not detected after.</w:t>
            </w:r>
          </w:p>
        </w:tc>
      </w:tr>
    </w:tbl>
    <w:p>
      <w:pPr>
        <w:pBdr>
          <w:bottom w:val="single" w:color="0F3460" w:sz="4"/>
        </w:pBdr>
        <w:spacing w:before="480" w:after="180"/>
      </w:pPr>
      <w:r>
        <w:rPr>
          <w:rFonts w:ascii="Calibri" w:cs="Calibri" w:eastAsia="Calibri" w:hAnsi="Calibri"/>
          <w:b/>
          <w:bCs/>
          <w:color w:val="0F3460"/>
          <w:sz w:val="26"/>
          <w:szCs w:val="26"/>
        </w:rPr>
        <w:t xml:space="preserve">6. PRIOR ART: ANALYTICAL POSITIONING</w:t>
      </w:r>
    </w:p>
    <w:p>
      <w:pPr>
        <w:spacing w:after="80"/>
      </w:pPr>
      <w:r>
        <w:t xml:space="preserve"/>
      </w:r>
    </w:p>
    <w:p>
      <w:pPr>
        <w:spacing w:before="200" w:after="160"/>
        <w:jc w:val="center"/>
      </w:pPr>
      <w:r>
        <w:drawing>
          <wp:inline distT="0" distB="0" distL="0" distR="0">
            <wp:extent cx="5524500" cy="3543300"/>
            <wp:effectExtent t="0" r="0" b="0" l="0"/>
            <wp:docPr id="1" name="fig_five_layers" descr="fig_five_layers" title="fig_five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543300"/>
                    </a:xfrm>
                    <a:prstGeom prst="rect">
                      <a:avLst/>
                    </a:prstGeom>
                  </pic:spPr>
                </pic:pic>
              </a:graphicData>
            </a:graphic>
          </wp:inline>
        </w:drawing>
      </w:r>
    </w:p>
    <w:p>
      <w:pPr>
        <w:spacing w:after="300"/>
        <w:jc w:val="center"/>
      </w:pPr>
      <w:r>
        <w:rPr>
          <w:rFonts w:ascii="Calibri" w:cs="Calibri" w:eastAsia="Calibri" w:hAnsi="Calibri"/>
          <w:i/>
          <w:iCs/>
          <w:color w:val="555555"/>
          <w:sz w:val="20"/>
          <w:szCs w:val="20"/>
        </w:rPr>
        <w:t xml:space="preserve">Figure 3. U-AEDIA is the decision intelligence layer that consumes outputs from data processing frameworks, model inference platforms, and policy systems, and produces governed Decision Objects.</w:t>
      </w:r>
    </w:p>
    <w:p>
      <w:pPr>
        <w:pBdr>
          <w:bottom w:val="single" w:color="0F3460" w:sz="4"/>
        </w:pBdr>
        <w:spacing w:before="480" w:after="180"/>
      </w:pPr>
      <w:r>
        <w:rPr>
          <w:rFonts w:ascii="Calibri" w:cs="Calibri" w:eastAsia="Calibri" w:hAnsi="Calibri"/>
          <w:b/>
          <w:bCs/>
          <w:color w:val="0F3460"/>
          <w:sz w:val="26"/>
          <w:szCs w:val="26"/>
        </w:rPr>
        <w:t xml:space="preserve">7. GLOSSARY OF ORIGINAL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shd w:fill="0F3460" w:val="clear"/>
          </w:tcPr>
          <w:p>
            <w:pPr>
              <w:spacing w:after="60"/>
            </w:pPr>
            <w:r>
              <w:rPr>
                <w:rFonts w:ascii="Calibri" w:cs="Calibri" w:eastAsia="Calibri" w:hAnsi="Calibri"/>
                <w:b/>
                <w:bCs/>
                <w:color w:val="FFFFFF"/>
                <w:sz w:val="21"/>
                <w:szCs w:val="21"/>
              </w:rPr>
              <w:t xml:space="preserve">Term</w:t>
            </w:r>
          </w:p>
        </w:tc>
        <w:tc>
          <w:tcPr>
            <w:tcW w:type="dxa" w:w="4500"/>
            <w:shd w:fill="0F3460" w:val="clear"/>
          </w:tcPr>
          <w:p>
            <w:pPr>
              <w:spacing w:after="60"/>
            </w:pPr>
            <w:r>
              <w:rPr>
                <w:rFonts w:ascii="Calibri" w:cs="Calibri" w:eastAsia="Calibri" w:hAnsi="Calibri"/>
                <w:b/>
                <w:bCs/>
                <w:color w:val="FFFFFF"/>
                <w:sz w:val="21"/>
                <w:szCs w:val="21"/>
              </w:rPr>
              <w:t xml:space="preserve">Definition</w:t>
            </w:r>
          </w:p>
        </w:tc>
        <w:tc>
          <w:tcPr>
            <w:tcW w:type="dxa" w:w="2360"/>
            <w:shd w:fill="0F3460" w:val="clear"/>
          </w:tcPr>
          <w:p>
            <w:pPr>
              <w:spacing w:after="60"/>
            </w:pPr>
            <w:r>
              <w:rPr>
                <w:rFonts w:ascii="Calibri" w:cs="Calibri" w:eastAsia="Calibri" w:hAnsi="Calibri"/>
                <w:b/>
                <w:bCs/>
                <w:color w:val="FFFFFF"/>
                <w:sz w:val="21"/>
                <w:szCs w:val="21"/>
              </w:rPr>
              <w:t xml:space="preserve">First introduced</w:t>
            </w:r>
          </w:p>
        </w:tc>
      </w:tr>
      <w:tr>
        <w:tc>
          <w:tcPr>
            <w:tcW w:type="dxa" w:w="2500"/>
            <w:shd w:fill="FFFFFF" w:val="clear"/>
          </w:tcPr>
          <w:p>
            <w:pPr>
              <w:spacing w:after="60"/>
              <w:jc w:val="both"/>
            </w:pPr>
            <w:r>
              <w:rPr>
                <w:rFonts w:ascii="Calibri" w:cs="Calibri" w:eastAsia="Calibri" w:hAnsi="Calibri"/>
                <w:sz w:val="21"/>
                <w:szCs w:val="21"/>
              </w:rPr>
              <w:t xml:space="preserve">Decision Orchestration Layer (DOL)</w:t>
            </w:r>
          </w:p>
        </w:tc>
        <w:tc>
          <w:tcPr>
            <w:tcW w:type="dxa" w:w="4500"/>
            <w:shd w:fill="FFFFFF" w:val="clear"/>
          </w:tcPr>
          <w:p>
            <w:pPr>
              <w:spacing w:after="60"/>
              <w:jc w:val="both"/>
            </w:pPr>
            <w:r>
              <w:rPr>
                <w:rFonts w:ascii="Calibri" w:cs="Calibri" w:eastAsia="Calibri" w:hAnsi="Calibri"/>
                <w:sz w:val="21"/>
                <w:szCs w:val="21"/>
              </w:rPr>
              <w:t xml:space="preserve">Architectural control plane integrating ML inference, rule evaluation, workflow execution, human-in-loop management, and audit recording into a unified decision lifecycle governed by a deterministic state machine.</w:t>
            </w:r>
          </w:p>
        </w:tc>
        <w:tc>
          <w:tcPr>
            <w:tcW w:type="dxa" w:w="2360"/>
            <w:shd w:fill="FFFFFF" w:val="clear"/>
          </w:tcPr>
          <w:p>
            <w:pPr>
              <w:spacing w:after="60"/>
              <w:jc w:val="both"/>
            </w:pPr>
            <w:r>
              <w:rPr>
                <w:rFonts w:ascii="Calibri" w:cs="Calibri" w:eastAsia="Calibri" w:hAnsi="Calibri"/>
                <w:sz w:val="21"/>
                <w:szCs w:val="21"/>
              </w:rPr>
              <w:t xml:space="preserve">v1.0, March 2018</w:t>
            </w:r>
          </w:p>
        </w:tc>
      </w:tr>
      <w:tr>
        <w:tc>
          <w:tcPr>
            <w:tcW w:type="dxa" w:w="2500"/>
            <w:shd w:fill="F8FAFC" w:val="clear"/>
          </w:tcPr>
          <w:p>
            <w:pPr>
              <w:spacing w:after="60"/>
              <w:jc w:val="both"/>
            </w:pPr>
            <w:r>
              <w:rPr>
                <w:rFonts w:ascii="Calibri" w:cs="Calibri" w:eastAsia="Calibri" w:hAnsi="Calibri"/>
                <w:sz w:val="21"/>
                <w:szCs w:val="21"/>
              </w:rPr>
              <w:t xml:space="preserve">Decision Context ID (DCID)</w:t>
            </w:r>
          </w:p>
        </w:tc>
        <w:tc>
          <w:tcPr>
            <w:tcW w:type="dxa" w:w="4500"/>
            <w:shd w:fill="F8FAFC" w:val="clear"/>
          </w:tcPr>
          <w:p>
            <w:pPr>
              <w:spacing w:after="60"/>
              <w:jc w:val="both"/>
            </w:pPr>
            <w:r>
              <w:rPr>
                <w:rFonts w:ascii="Calibri" w:cs="Calibri" w:eastAsia="Calibri" w:hAnsi="Calibri"/>
                <w:sz w:val="21"/>
                <w:szCs w:val="21"/>
              </w:rPr>
              <w:t xml:space="preserve">Globally unique identifier assigned at event ingestion and propagated through all downstream components, enabling end-to-end traceability under a single identifier.</w:t>
            </w:r>
          </w:p>
        </w:tc>
        <w:tc>
          <w:tcPr>
            <w:tcW w:type="dxa" w:w="2360"/>
            <w:shd w:fill="F8FAFC" w:val="clear"/>
          </w:tcPr>
          <w:p>
            <w:pPr>
              <w:spacing w:after="60"/>
              <w:jc w:val="both"/>
            </w:pPr>
            <w:r>
              <w:rPr>
                <w:rFonts w:ascii="Calibri" w:cs="Calibri" w:eastAsia="Calibri" w:hAnsi="Calibri"/>
                <w:sz w:val="21"/>
                <w:szCs w:val="21"/>
              </w:rPr>
              <w:t xml:space="preserve">v1.0, March 2018</w:t>
            </w:r>
          </w:p>
        </w:tc>
      </w:tr>
      <w:tr>
        <w:tc>
          <w:tcPr>
            <w:tcW w:type="dxa" w:w="2500"/>
            <w:shd w:fill="FFFFFF" w:val="clear"/>
          </w:tcPr>
          <w:p>
            <w:pPr>
              <w:spacing w:after="60"/>
              <w:jc w:val="both"/>
            </w:pPr>
            <w:r>
              <w:rPr>
                <w:rFonts w:ascii="Calibri" w:cs="Calibri" w:eastAsia="Calibri" w:hAnsi="Calibri"/>
                <w:sz w:val="21"/>
                <w:szCs w:val="21"/>
              </w:rPr>
              <w:t xml:space="preserve">Decision Object</w:t>
            </w:r>
          </w:p>
        </w:tc>
        <w:tc>
          <w:tcPr>
            <w:tcW w:type="dxa" w:w="4500"/>
            <w:shd w:fill="FFFFFF" w:val="clear"/>
          </w:tcPr>
          <w:p>
            <w:pPr>
              <w:spacing w:after="60"/>
              <w:jc w:val="both"/>
            </w:pPr>
            <w:r>
              <w:rPr>
                <w:rFonts w:ascii="Calibri" w:cs="Calibri" w:eastAsia="Calibri" w:hAnsi="Calibri"/>
                <w:sz w:val="21"/>
                <w:szCs w:val="21"/>
              </w:rPr>
              <w:t xml:space="preserve">Canonical structured record produced upon decision completion, capturing the complete lifecycle from input context through executed action under the DCID.</w:t>
            </w:r>
          </w:p>
        </w:tc>
        <w:tc>
          <w:tcPr>
            <w:tcW w:type="dxa" w:w="2360"/>
            <w:shd w:fill="FFFFFF" w:val="clear"/>
          </w:tcPr>
          <w:p>
            <w:pPr>
              <w:spacing w:after="60"/>
              <w:jc w:val="both"/>
            </w:pPr>
            <w:r>
              <w:rPr>
                <w:rFonts w:ascii="Calibri" w:cs="Calibri" w:eastAsia="Calibri" w:hAnsi="Calibri"/>
                <w:sz w:val="21"/>
                <w:szCs w:val="21"/>
              </w:rPr>
              <w:t xml:space="preserve">v1.0, March 2018</w:t>
            </w:r>
          </w:p>
        </w:tc>
      </w:tr>
      <w:tr>
        <w:tc>
          <w:tcPr>
            <w:tcW w:type="dxa" w:w="2500"/>
            <w:shd w:fill="F8FAFC" w:val="clear"/>
          </w:tcPr>
          <w:p>
            <w:pPr>
              <w:spacing w:after="60"/>
              <w:jc w:val="both"/>
            </w:pPr>
            <w:r>
              <w:rPr>
                <w:rFonts w:ascii="Calibri" w:cs="Calibri" w:eastAsia="Calibri" w:hAnsi="Calibri"/>
                <w:sz w:val="21"/>
                <w:szCs w:val="21"/>
              </w:rPr>
              <w:t xml:space="preserve">Decision-Centric Paradigm</w:t>
            </w:r>
          </w:p>
        </w:tc>
        <w:tc>
          <w:tcPr>
            <w:tcW w:type="dxa" w:w="4500"/>
            <w:shd w:fill="F8FAFC" w:val="clear"/>
          </w:tcPr>
          <w:p>
            <w:pPr>
              <w:spacing w:after="60"/>
              <w:jc w:val="both"/>
            </w:pPr>
            <w:r>
              <w:rPr>
                <w:rFonts w:ascii="Calibri" w:cs="Calibri" w:eastAsia="Calibri" w:hAnsi="Calibri"/>
                <w:sz w:val="21"/>
                <w:szCs w:val="21"/>
              </w:rPr>
              <w:t xml:space="preserve">Architectural philosophy treating decision-making as a first-class system concern with explicit constructs, formal state machine governance, and unified audit infrastructure.</w:t>
            </w:r>
          </w:p>
        </w:tc>
        <w:tc>
          <w:tcPr>
            <w:tcW w:type="dxa" w:w="2360"/>
            <w:shd w:fill="F8FAFC" w:val="clear"/>
          </w:tcPr>
          <w:p>
            <w:pPr>
              <w:spacing w:after="60"/>
              <w:jc w:val="both"/>
            </w:pPr>
            <w:r>
              <w:rPr>
                <w:rFonts w:ascii="Calibri" w:cs="Calibri" w:eastAsia="Calibri" w:hAnsi="Calibri"/>
                <w:sz w:val="21"/>
                <w:szCs w:val="21"/>
              </w:rPr>
              <w:t xml:space="preserve">v1.0, March 2018</w:t>
            </w:r>
          </w:p>
        </w:tc>
      </w:tr>
      <w:tr>
        <w:tc>
          <w:tcPr>
            <w:tcW w:type="dxa" w:w="2500"/>
            <w:shd w:fill="FFFFFF" w:val="clear"/>
          </w:tcPr>
          <w:p>
            <w:pPr>
              <w:spacing w:after="60"/>
              <w:jc w:val="both"/>
            </w:pPr>
            <w:r>
              <w:rPr>
                <w:rFonts w:ascii="Calibri" w:cs="Calibri" w:eastAsia="Calibri" w:hAnsi="Calibri"/>
                <w:sz w:val="21"/>
                <w:szCs w:val="21"/>
              </w:rPr>
              <w:t xml:space="preserve">Domain Configuration Package (DCP)</w:t>
            </w:r>
          </w:p>
        </w:tc>
        <w:tc>
          <w:tcPr>
            <w:tcW w:type="dxa" w:w="4500"/>
            <w:shd w:fill="FFFFFF" w:val="clear"/>
          </w:tcPr>
          <w:p>
            <w:pPr>
              <w:spacing w:after="60"/>
              <w:jc w:val="both"/>
            </w:pPr>
            <w:r>
              <w:rPr>
                <w:rFonts w:ascii="Calibri" w:cs="Calibri" w:eastAsia="Calibri" w:hAnsi="Calibri"/>
                <w:sz w:val="21"/>
                <w:szCs w:val="21"/>
              </w:rPr>
              <w:t xml:space="preserve">Externalized, versioned configuration artifact parameterizing U-AEDIA for a specific decision domain, enabling cross-domain deployment without core re-implementation.</w:t>
            </w:r>
          </w:p>
        </w:tc>
        <w:tc>
          <w:tcPr>
            <w:tcW w:type="dxa" w:w="2360"/>
            <w:shd w:fill="FFFFFF" w:val="clear"/>
          </w:tcPr>
          <w:p>
            <w:pPr>
              <w:spacing w:after="60"/>
              <w:jc w:val="both"/>
            </w:pPr>
            <w:r>
              <w:rPr>
                <w:rFonts w:ascii="Calibri" w:cs="Calibri" w:eastAsia="Calibri" w:hAnsi="Calibri"/>
                <w:sz w:val="21"/>
                <w:szCs w:val="21"/>
              </w:rPr>
              <w:t xml:space="preserve">v1.0, March 2018</w:t>
            </w:r>
          </w:p>
        </w:tc>
      </w:tr>
      <w:tr>
        <w:tc>
          <w:tcPr>
            <w:tcW w:type="dxa" w:w="2500"/>
            <w:shd w:fill="F8FAFC" w:val="clear"/>
          </w:tcPr>
          <w:p>
            <w:pPr>
              <w:spacing w:after="60"/>
              <w:jc w:val="both"/>
            </w:pPr>
            <w:r>
              <w:rPr>
                <w:rFonts w:ascii="Calibri" w:cs="Calibri" w:eastAsia="Calibri" w:hAnsi="Calibri"/>
                <w:sz w:val="21"/>
                <w:szCs w:val="21"/>
              </w:rPr>
              <w:t xml:space="preserve">Training-Serving Consistency (architectural guarantee)</w:t>
            </w:r>
          </w:p>
        </w:tc>
        <w:tc>
          <w:tcPr>
            <w:tcW w:type="dxa" w:w="4500"/>
            <w:shd w:fill="F8FAFC" w:val="clear"/>
          </w:tcPr>
          <w:p>
            <w:pPr>
              <w:spacing w:after="60"/>
              <w:jc w:val="both"/>
            </w:pPr>
            <w:r>
              <w:rPr>
                <w:rFonts w:ascii="Calibri" w:cs="Calibri" w:eastAsia="Calibri" w:hAnsi="Calibri"/>
                <w:sz w:val="21"/>
                <w:szCs w:val="21"/>
              </w:rPr>
              <w:t xml:space="preserve">Feature Store pattern using a unified feature definition registry to make training-serving consistency a structural property, not a coordination discipline.</w:t>
            </w:r>
          </w:p>
        </w:tc>
        <w:tc>
          <w:tcPr>
            <w:tcW w:type="dxa" w:w="2360"/>
            <w:shd w:fill="F8FAFC" w:val="clear"/>
          </w:tcPr>
          <w:p>
            <w:pPr>
              <w:spacing w:after="60"/>
              <w:jc w:val="both"/>
            </w:pPr>
            <w:r>
              <w:rPr>
                <w:rFonts w:ascii="Calibri" w:cs="Calibri" w:eastAsia="Calibri" w:hAnsi="Calibri"/>
                <w:sz w:val="21"/>
                <w:szCs w:val="21"/>
              </w:rPr>
              <w:t xml:space="preserve">v1.0, March 2018</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c42a1f0909693549d29d6abf4f47c49ef94d98e.png"/><Relationship Id="rId7" Type="http://schemas.openxmlformats.org/officeDocument/2006/relationships/image" Target="media/8270944f107a2bb9a95fdbd35e6cf8b72b1a0c6d.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2026-04-02T01:07:33.580Z</dcterms:created>
  <dcterms:modified xsi:type="dcterms:W3CDTF">2026-04-02T01:07:33.580Z</dcterms:modified>
</cp:coreProperties>
</file>

<file path=docProps/custom.xml><?xml version="1.0" encoding="utf-8"?>
<Properties xmlns="http://schemas.openxmlformats.org/officeDocument/2006/custom-properties" xmlns:vt="http://schemas.openxmlformats.org/officeDocument/2006/docPropsVTypes"/>
</file>