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g" ContentType="image/jpg"/>
  <Default Extension="jpeg" ContentType="image/jpeg"/>
  <Default Extension="tiff" ContentType="image/tiff"/>
  <Default Extension="tif" ContentType="image/tif"/>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mo="http://schemas.microsoft.com/office/mac/office/2008/main" xmlns:mv="urn:schemas-microsoft-com:mac:v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body>
    <w:p>
      <w:pPr>
        <w:pStyle w:val="Heading1"/>
        <w:keepNext/>
      </w:pPr>
      <w:r>
        <w:rPr/>
        <w:t xml:space="preserve">MESCo Website Content Skeleton</w:t>
      </w:r>
    </w:p>
    <w:p>
      <w:pPr/>
      <w:r>
        <w:rPr/>
        <w:t xml:space="preserve">A structured content map for the MESCo website, ready for Astro development using content collections where it makes sense.</w:t>
      </w:r>
    </w:p>
    <w:p>
      <w:pPr/>
      <w:r>
        <w:rPr/>
        <w:t xml:space="preserve">Each section includes page outlines, suggested headings, and writing prompts to guide the client through content creation.</w:t>
      </w:r>
    </w:p>
    <w:p>
      <w:pPr/>
      <w:r>
        <w:rPr/>
        <w:t xml:space="preserve">We want to focus on using language and words that clients/potential clients would be using, and we assume that they don’t know anything, so we don’t use slang or jargon, but try to use English that a five-year-old would understand.</w:t>
      </w:r>
    </w:p>
    <w:p>
      <w:pPr/>
      <w:r>
        <w:rPr/>
        <w:t xml:space="preserve">Below are pages, then sections on each page, with suggestions on what to write about. Replace that text with your own. I will subedit, proof read, and flesh out where necessary with what you give me.</w:t>
      </w:r>
    </w:p>
    <w:p>
      <w:pPr/>
      <w:r>
        <w:rPr/>
        <w:t xml:space="preserve">When writing:</w:t>
      </w:r>
    </w:p>
    <w:p>
      <w:pPr>
        <w:spacing w:before="0" w:after="0"/>
        <w:pStyle w:val="ListParagraph"/>
        <w:ind w:left="720"/>
        <w:numPr>
          <w:ilvl w:val="0"/>
          <w:numId w:val="1"/>
        </w:numPr>
      </w:pPr>
      <w:r>
        <w:rPr/>
        <w:t xml:space="preserve">Use project language (QA/QC, HSE, ISO) confidently — your clients understand it - but still try to keep the content accessible to norms.</w:t>
      </w:r>
    </w:p>
    <w:p>
      <w:pPr>
        <w:spacing w:before="0" w:after="0"/>
        <w:pStyle w:val="ListParagraph"/>
        <w:ind w:left="720"/>
        <w:numPr>
          <w:ilvl w:val="0"/>
          <w:numId w:val="1"/>
        </w:numPr>
      </w:pPr>
      <w:r>
        <w:rPr/>
        <w:t xml:space="preserve">Emphasise </w:t>
      </w:r>
      <w:r>
        <w:rPr>
          <w:b/>
        </w:rPr>
        <w:t xml:space="preserve">audit-ready</w:t>
      </w:r>
      <w:r>
        <w:rPr/>
        <w:t xml:space="preserve">, </w:t>
      </w:r>
      <w:r>
        <w:rPr>
          <w:b/>
        </w:rPr>
        <w:t xml:space="preserve">structured</w:t>
      </w:r>
      <w:r>
        <w:rPr/>
        <w:t xml:space="preserve">, </w:t>
      </w:r>
      <w:r>
        <w:rPr>
          <w:b/>
        </w:rPr>
        <w:t xml:space="preserve">compliant</w:t>
      </w:r>
      <w:r>
        <w:rPr/>
        <w:t xml:space="preserve">, and </w:t>
      </w:r>
      <w:r>
        <w:rPr>
          <w:b/>
        </w:rPr>
        <w:t xml:space="preserve">field-ready</w:t>
      </w:r>
      <w:r>
        <w:rPr/>
        <w:t xml:space="preserve"> systems.</w:t>
      </w:r>
    </w:p>
    <w:p>
      <w:pPr>
        <w:spacing w:before="0" w:after="0"/>
        <w:pStyle w:val="ListParagraph"/>
        <w:ind w:left="720"/>
        <w:numPr>
          <w:ilvl w:val="0"/>
          <w:numId w:val="1"/>
        </w:numPr>
      </w:pPr>
      <w:r>
        <w:rPr/>
        <w:t xml:space="preserve">Keep tone professional but human — you’re simplifying complexity, not adding jargon.</w:t>
      </w:r>
    </w:p>
    <w:p>
      <w:pPr>
        <w:spacing w:before="0" w:after="0"/>
        <w:pStyle w:val="ListParagraph"/>
        <w:ind w:left="720"/>
        <w:numPr>
          <w:ilvl w:val="0"/>
          <w:numId w:val="1"/>
        </w:numPr>
      </w:pPr>
      <w:r>
        <w:rPr/>
        <w:t xml:space="preserve">Include real examples or outcomes wherever possible (audit passes, mobilisation times saved).</w:t>
      </w:r>
    </w:p>
    <w:p>
      <w:pPr>
        <w:pBdr>
          <w:bottom w:val="single" w:sz="6" w:space="1" w:color="auto"/>
        </w:pBdr>
        <w:spacing w:before="0" w:after="0" w:line="1" w:lineRule="auto"/>
      </w:pPr>
    </w:p>
    <w:p>
      <w:pPr>
        <w:pStyle w:val="Heading2"/>
        <w:keepNext/>
      </w:pPr>
      <w:r>
        <w:rPr/>
        <w:t xml:space="preserve">Home Page (</w:t>
      </w:r>
      <w:r>
        <w:rPr>
          <w:rStyle w:val="Code"/>
        </w:rPr>
        <w:t xml:space="preserve">/</w:t>
      </w:r>
      <w:r>
        <w:rPr/>
        <w:t xml:space="preserve">)</w:t>
      </w:r>
    </w:p>
    <w:p>
      <w:pPr/>
      <w:r>
        <w:rPr>
          <w:b/>
        </w:rPr>
        <w:t xml:space="preserve">Purpose:</w:t>
      </w:r>
      <w:r>
        <w:rPr/>
        <w:t xml:space="preserve"> Introduce MESCo, the problem it solves, and its unique role between design consultants and subcontractors.</w:t>
      </w:r>
    </w:p>
    <w:p>
      <w:pPr>
        <w:pStyle w:val="Heading3"/>
        <w:keepNext/>
      </w:pPr>
      <w:r>
        <w:rPr/>
        <w:t xml:space="preserve">Sections &amp; Headings</w:t>
      </w:r>
    </w:p>
    <w:p>
      <w:pPr>
        <w:pStyle w:val="Heading4"/>
        <w:keepNext/>
      </w:pPr>
      <w:r>
        <w:rPr/>
        <w:t xml:space="preserve">Hero</w:t>
      </w:r>
    </w:p>
    <w:p>
      <w:pPr/>
      <w:r>
        <w:rPr>
          <w:b/>
        </w:rPr>
        <w:t xml:space="preserve">Headline:</w:t>
      </w:r>
      <w:r>
        <w:rPr/>
        <w:t xml:space="preserve"> Bridging the gap between design and delivery - we should include more words here to explain it to people that don’t get it. </w:t>
      </w:r>
      <w:r>
        <w:rPr>
          <w:b/>
        </w:rPr>
        <w:t xml:space="preserve">Subhead:</w:t>
      </w:r>
      <w:r>
        <w:rPr/>
        <w:t xml:space="preserve"> Structured systems and compliance support for clean, auditable project delivery - we need to include industry/business ID here to help Google categorise you.</w:t>
      </w:r>
    </w:p>
    <w:p>
      <w:pPr>
        <w:pStyle w:val="Heading4"/>
        <w:keepNext/>
      </w:pPr>
      <w:r>
        <w:rPr/>
        <w:t xml:space="preserve">The Problem</w:t>
      </w:r>
    </w:p>
    <w:p>
      <w:pPr/>
      <w:r>
        <w:rPr/>
        <w:t xml:space="preserve">Projects often start before systems are ready — engineers scramble to build registers, gather documentation, and meet compliance after work begins. Explain the stress, inefficiency, and audit risk this causes.</w:t>
      </w:r>
    </w:p>
    <w:p>
      <w:pPr>
        <w:pStyle w:val="Heading4"/>
        <w:keepNext/>
      </w:pPr>
      <w:r>
        <w:rPr/>
        <w:t xml:space="preserve">How MESCo Fixes It</w:t>
      </w:r>
    </w:p>
    <w:p>
      <w:pPr/>
      <w:r>
        <w:rPr/>
        <w:t xml:space="preserve">MESCo steps in early — before mobilisation — to set up QA/QC, HSE, and compliance systems. Show the “before” and “after” difference in readiness.</w:t>
      </w:r>
    </w:p>
    <w:p>
      <w:pPr>
        <w:pStyle w:val="Heading4"/>
        <w:keepNext/>
      </w:pPr>
      <w:r>
        <w:rPr/>
        <w:t xml:space="preserve">Core Services Snapshot</w:t>
      </w:r>
    </w:p>
    <w:p>
      <w:pPr/>
      <w:r>
        <w:rPr/>
        <w:t xml:space="preserve">Grid of 8 services, each linking to a detail page:</w:t>
      </w:r>
    </w:p>
    <w:p>
      <w:pPr>
        <w:spacing w:before="0" w:after="0"/>
        <w:pStyle w:val="ListParagraph"/>
        <w:ind w:left="720"/>
        <w:numPr>
          <w:ilvl w:val="0"/>
          <w:numId w:val="2"/>
        </w:numPr>
      </w:pPr>
      <w:r>
        <w:rPr/>
        <w:t xml:space="preserve">Project Start-Up Services</w:t>
      </w:r>
    </w:p>
    <w:p>
      <w:pPr>
        <w:spacing w:before="0" w:after="0"/>
        <w:pStyle w:val="ListParagraph"/>
        <w:ind w:left="720"/>
        <w:numPr>
          <w:ilvl w:val="0"/>
          <w:numId w:val="2"/>
        </w:numPr>
      </w:pPr>
      <w:r>
        <w:rPr/>
        <w:t xml:space="preserve">Project Familiarisation &amp; Delivery Tools</w:t>
      </w:r>
    </w:p>
    <w:p>
      <w:pPr>
        <w:spacing w:before="0" w:after="0"/>
        <w:pStyle w:val="ListParagraph"/>
        <w:ind w:left="720"/>
        <w:numPr>
          <w:ilvl w:val="0"/>
          <w:numId w:val="2"/>
        </w:numPr>
      </w:pPr>
      <w:r>
        <w:rPr/>
        <w:t xml:space="preserve">Systems Design &amp; Engineering Administration</w:t>
      </w:r>
    </w:p>
    <w:p>
      <w:pPr>
        <w:spacing w:before="0" w:after="0"/>
        <w:pStyle w:val="ListParagraph"/>
        <w:ind w:left="720"/>
        <w:numPr>
          <w:ilvl w:val="0"/>
          <w:numId w:val="2"/>
        </w:numPr>
      </w:pPr>
      <w:r>
        <w:rPr/>
        <w:t xml:space="preserve">HSE &amp; Environmental Compliance</w:t>
      </w:r>
    </w:p>
    <w:p>
      <w:pPr>
        <w:spacing w:before="0" w:after="0"/>
        <w:pStyle w:val="ListParagraph"/>
        <w:ind w:left="720"/>
        <w:numPr>
          <w:ilvl w:val="0"/>
          <w:numId w:val="2"/>
        </w:numPr>
      </w:pPr>
      <w:r>
        <w:rPr/>
        <w:t xml:space="preserve">ISO Systems &amp; Audit Support</w:t>
      </w:r>
    </w:p>
    <w:p>
      <w:pPr>
        <w:spacing w:before="0" w:after="0"/>
        <w:pStyle w:val="ListParagraph"/>
        <w:ind w:left="720"/>
        <w:numPr>
          <w:ilvl w:val="0"/>
          <w:numId w:val="2"/>
        </w:numPr>
      </w:pPr>
      <w:r>
        <w:rPr/>
        <w:t xml:space="preserve">Project Close-Out Services</w:t>
      </w:r>
    </w:p>
    <w:p>
      <w:pPr>
        <w:spacing w:before="0" w:after="0"/>
        <w:pStyle w:val="ListParagraph"/>
        <w:ind w:left="720"/>
        <w:numPr>
          <w:ilvl w:val="0"/>
          <w:numId w:val="2"/>
        </w:numPr>
      </w:pPr>
      <w:r>
        <w:rPr/>
        <w:t xml:space="preserve">Training, Induction &amp; Capability</w:t>
      </w:r>
    </w:p>
    <w:p>
      <w:pPr>
        <w:spacing w:before="0" w:after="0"/>
        <w:pStyle w:val="ListParagraph"/>
        <w:ind w:left="720"/>
        <w:numPr>
          <w:ilvl w:val="0"/>
          <w:numId w:val="2"/>
        </w:numPr>
      </w:pPr>
      <w:r>
        <w:rPr/>
        <w:t xml:space="preserve">Short-Term Fill-Ins &amp; Technical Support</w:t>
      </w:r>
    </w:p>
    <w:p>
      <w:pPr>
        <w:pStyle w:val="Heading4"/>
        <w:keepNext/>
      </w:pPr>
      <w:r>
        <w:rPr/>
        <w:t xml:space="preserve">Why MESCo</w:t>
      </w:r>
    </w:p>
    <w:p>
      <w:pPr/>
      <w:r>
        <w:rPr/>
        <w:t xml:space="preserve">Bullet or icon list of differentiators:</w:t>
      </w:r>
    </w:p>
    <w:p>
      <w:pPr>
        <w:spacing w:before="0" w:after="0"/>
        <w:pStyle w:val="ListParagraph"/>
        <w:ind w:left="720"/>
        <w:numPr>
          <w:ilvl w:val="0"/>
          <w:numId w:val="3"/>
        </w:numPr>
      </w:pPr>
      <w:r>
        <w:rPr/>
        <w:t xml:space="preserve">Audit-ready systems from day one</w:t>
      </w:r>
    </w:p>
    <w:p>
      <w:pPr>
        <w:spacing w:before="0" w:after="0"/>
        <w:pStyle w:val="ListParagraph"/>
        <w:ind w:left="720"/>
        <w:numPr>
          <w:ilvl w:val="0"/>
          <w:numId w:val="3"/>
        </w:numPr>
      </w:pPr>
      <w:r>
        <w:rPr/>
        <w:t xml:space="preserve">On-site and remote support</w:t>
      </w:r>
    </w:p>
    <w:p>
      <w:pPr>
        <w:spacing w:before="0" w:after="0"/>
        <w:pStyle w:val="ListParagraph"/>
        <w:ind w:left="720"/>
        <w:numPr>
          <w:ilvl w:val="0"/>
          <w:numId w:val="3"/>
        </w:numPr>
      </w:pPr>
      <w:r>
        <w:rPr/>
        <w:t xml:space="preserve">ISO alignment and certification expertise</w:t>
      </w:r>
    </w:p>
    <w:p>
      <w:pPr>
        <w:spacing w:before="0" w:after="0"/>
        <w:pStyle w:val="ListParagraph"/>
        <w:ind w:left="720"/>
        <w:numPr>
          <w:ilvl w:val="0"/>
          <w:numId w:val="3"/>
        </w:numPr>
      </w:pPr>
      <w:r>
        <w:rPr/>
        <w:t xml:space="preserve">Contractor-friendly documentation tools</w:t>
      </w:r>
    </w:p>
    <w:p>
      <w:pPr>
        <w:pStyle w:val="Heading4"/>
        <w:keepNext/>
      </w:pPr>
      <w:r>
        <w:rPr/>
        <w:t xml:space="preserve">Industries We Support</w:t>
      </w:r>
    </w:p>
    <w:p>
      <w:pPr/>
      <w:r>
        <w:rPr/>
        <w:t xml:space="preserve">Short overview with icons: Construction, Resources, Energy, Infrastructure, Government.</w:t>
      </w:r>
    </w:p>
    <w:p>
      <w:pPr>
        <w:pStyle w:val="Heading4"/>
        <w:keepNext/>
      </w:pPr>
      <w:r>
        <w:rPr/>
        <w:t xml:space="preserve">Call to Action</w:t>
      </w:r>
    </w:p>
    <w:p>
      <w:pPr/>
      <w:r>
        <w:rPr>
          <w:b/>
        </w:rPr>
        <w:t xml:space="preserve">Headline:</w:t>
      </w:r>
      <w:r>
        <w:rPr/>
        <w:t xml:space="preserve"> Let’s make your next project audit-ready from day one</w:t>
      </w:r>
    </w:p>
    <w:p>
      <w:pPr>
        <w:pBdr>
          <w:bottom w:val="single" w:sz="6" w:space="1" w:color="auto"/>
        </w:pBdr>
        <w:spacing w:before="0" w:after="0" w:line="1" w:lineRule="auto"/>
      </w:pPr>
    </w:p>
    <w:p>
      <w:pPr>
        <w:pStyle w:val="Heading2"/>
        <w:keepNext/>
      </w:pPr>
      <w:r>
        <w:rPr/>
        <w:t xml:space="preserve">About (</w:t>
      </w:r>
      <w:r>
        <w:rPr>
          <w:rStyle w:val="Code"/>
        </w:rPr>
        <w:t xml:space="preserve">/about</w:t>
      </w:r>
      <w:r>
        <w:rPr/>
        <w:t xml:space="preserve">)</w:t>
      </w:r>
    </w:p>
    <w:p>
      <w:pPr/>
      <w:r>
        <w:rPr>
          <w:b/>
        </w:rPr>
        <w:t xml:space="preserve">Purpose:</w:t>
      </w:r>
      <w:r>
        <w:rPr/>
        <w:t xml:space="preserve"> Build trust and context around MESCo’s position in the project ecosystem. This is an extension of the home page but with more detail, and deeper explanations. Imagine that mum has to read this to explain to her friends what you do.</w:t>
      </w:r>
    </w:p>
    <w:p>
      <w:pPr>
        <w:pStyle w:val="Heading3"/>
        <w:keepNext/>
      </w:pPr>
      <w:r>
        <w:rPr/>
        <w:t xml:space="preserve">Headings</w:t>
      </w:r>
    </w:p>
    <w:p>
      <w:pPr>
        <w:pStyle w:val="Heading4"/>
        <w:keepNext/>
      </w:pPr>
      <w:r>
        <w:rPr/>
        <w:t xml:space="preserve">Where MESCo Fits In</w:t>
      </w:r>
    </w:p>
    <w:p>
      <w:pPr/>
      <w:r>
        <w:rPr/>
        <w:t xml:space="preserve">Explain the “middle-layer” between design consultants and subcontractors. Include a simple diagram showing flow: </w:t>
      </w:r>
      <w:r>
        <w:rPr>
          <w:b/>
        </w:rPr>
        <w:t xml:space="preserve">Design → MESCo Systems → Construction Delivery.</w:t>
      </w:r>
    </w:p>
    <w:p>
      <w:pPr>
        <w:pStyle w:val="Heading4"/>
        <w:keepNext/>
      </w:pPr>
      <w:r>
        <w:rPr/>
        <w:t xml:space="preserve">Our Vision</w:t>
      </w:r>
    </w:p>
    <w:p>
      <w:pPr/>
      <w:r>
        <w:rPr/>
        <w:t xml:space="preserve">To simplify compliance and documentation so contractors can focus on safe, efficient delivery.</w:t>
      </w:r>
    </w:p>
    <w:p>
      <w:pPr>
        <w:pStyle w:val="Heading4"/>
        <w:keepNext/>
      </w:pPr>
      <w:r>
        <w:rPr/>
        <w:t xml:space="preserve">Our Approach</w:t>
      </w:r>
    </w:p>
    <w:p>
      <w:pPr/>
      <w:r>
        <w:rPr/>
        <w:t xml:space="preserve">Early involvement, structured systems, ongoing field support. Describe philosophy of proactive compliance versus reactive scrambling.</w:t>
      </w:r>
    </w:p>
    <w:p>
      <w:pPr>
        <w:pStyle w:val="Heading4"/>
        <w:keepNext/>
      </w:pPr>
      <w:r>
        <w:rPr/>
        <w:t xml:space="preserve">The Team</w:t>
      </w:r>
    </w:p>
    <w:p>
      <w:pPr/>
      <w:r>
        <w:rPr/>
        <w:t xml:space="preserve">Bios or profiles of key people. Highlight engineering, QA, or HSE backgrounds.</w:t>
      </w:r>
    </w:p>
    <w:p>
      <w:pPr>
        <w:pStyle w:val="Heading4"/>
        <w:keepNext/>
      </w:pPr>
      <w:r>
        <w:rPr/>
        <w:t xml:space="preserve">Certifications &amp; Credentials</w:t>
      </w:r>
    </w:p>
    <w:p>
      <w:pPr/>
      <w:r>
        <w:rPr/>
        <w:t xml:space="preserve">ISO alignment, WHS qualifications, environmental compliance credentials, etc.</w:t>
      </w:r>
    </w:p>
    <w:p>
      <w:pPr>
        <w:pBdr>
          <w:bottom w:val="single" w:sz="6" w:space="1" w:color="auto"/>
        </w:pBdr>
        <w:spacing w:before="0" w:after="0" w:line="1" w:lineRule="auto"/>
      </w:pPr>
    </w:p>
    <w:p>
      <w:pPr>
        <w:pStyle w:val="Heading2"/>
        <w:keepNext/>
      </w:pPr>
      <w:r>
        <w:rPr/>
        <w:t xml:space="preserve">Services (</w:t>
      </w:r>
      <w:r>
        <w:rPr>
          <w:rStyle w:val="Code"/>
        </w:rPr>
        <w:t xml:space="preserve">/services</w:t>
      </w:r>
      <w:r>
        <w:rPr/>
        <w:t xml:space="preserve">)</w:t>
      </w:r>
    </w:p>
    <w:p>
      <w:pPr/>
      <w:r>
        <w:rPr>
          <w:b/>
        </w:rPr>
        <w:t xml:space="preserve">Purpose:</w:t>
      </w:r>
      <w:r>
        <w:rPr/>
        <w:t xml:space="preserve"> Summarise all eight MESCo services with short descriptions and internal links. This is going to be content collection, demo’d below.</w:t>
      </w:r>
    </w:p>
    <w:p>
      <w:pPr>
        <w:pStyle w:val="Heading3"/>
        <w:keepNext/>
      </w:pPr>
      <w:r>
        <w:rPr/>
        <w:t xml:space="preserve">Headings</w:t>
      </w:r>
    </w:p>
    <w:p>
      <w:pPr>
        <w:pStyle w:val="Heading4"/>
        <w:keepNext/>
      </w:pPr>
      <w:r>
        <w:rPr/>
        <w:t xml:space="preserve">Our Core Services</w:t>
      </w:r>
    </w:p>
    <w:p>
      <w:pPr/>
      <w:r>
        <w:rPr/>
        <w:t xml:space="preserve">Intro paragraph: MESCo covers the full project lifecycle — from mobilisation to close-out — ensuring systems are built, maintained, and auditable.</w:t>
      </w:r>
    </w:p>
    <w:p>
      <w:pPr>
        <w:pStyle w:val="Heading4"/>
        <w:keepNext/>
      </w:pPr>
      <w:r>
        <w:rPr/>
        <w:t xml:space="preserve">Service Grid / Accordion</w:t>
      </w:r>
    </w:p>
    <w:p>
      <w:pPr>
        <w:spacing w:before="0" w:after="0"/>
        <w:pStyle w:val="ListParagraph"/>
        <w:ind w:left="720"/>
        <w:numPr>
          <w:ilvl w:val="0"/>
          <w:numId w:val="4"/>
        </w:numPr>
      </w:pPr>
      <w:r>
        <w:rPr/>
        <w:t xml:space="preserve">Project Start-Up Services</w:t>
      </w:r>
    </w:p>
    <w:p>
      <w:pPr>
        <w:spacing w:before="0" w:after="0"/>
        <w:pStyle w:val="ListParagraph"/>
        <w:ind w:left="720"/>
        <w:numPr>
          <w:ilvl w:val="0"/>
          <w:numId w:val="4"/>
        </w:numPr>
      </w:pPr>
      <w:r>
        <w:rPr/>
        <w:t xml:space="preserve">Project Familiarisation &amp; Delivery Tools</w:t>
      </w:r>
    </w:p>
    <w:p>
      <w:pPr>
        <w:spacing w:before="0" w:after="0"/>
        <w:pStyle w:val="ListParagraph"/>
        <w:ind w:left="720"/>
        <w:numPr>
          <w:ilvl w:val="0"/>
          <w:numId w:val="4"/>
        </w:numPr>
      </w:pPr>
      <w:r>
        <w:rPr/>
        <w:t xml:space="preserve">Systems Design &amp; Engineering Administration</w:t>
      </w:r>
    </w:p>
    <w:p>
      <w:pPr>
        <w:spacing w:before="0" w:after="0"/>
        <w:pStyle w:val="ListParagraph"/>
        <w:ind w:left="720"/>
        <w:numPr>
          <w:ilvl w:val="0"/>
          <w:numId w:val="4"/>
        </w:numPr>
      </w:pPr>
      <w:r>
        <w:rPr/>
        <w:t xml:space="preserve">HSE &amp; Environmental Compliance</w:t>
      </w:r>
    </w:p>
    <w:p>
      <w:pPr>
        <w:spacing w:before="0" w:after="0"/>
        <w:pStyle w:val="ListParagraph"/>
        <w:ind w:left="720"/>
        <w:numPr>
          <w:ilvl w:val="0"/>
          <w:numId w:val="4"/>
        </w:numPr>
      </w:pPr>
      <w:r>
        <w:rPr/>
        <w:t xml:space="preserve">ISO Systems &amp; Audit Support</w:t>
      </w:r>
    </w:p>
    <w:p>
      <w:pPr>
        <w:spacing w:before="0" w:after="0"/>
        <w:pStyle w:val="ListParagraph"/>
        <w:ind w:left="720"/>
        <w:numPr>
          <w:ilvl w:val="0"/>
          <w:numId w:val="4"/>
        </w:numPr>
      </w:pPr>
      <w:r>
        <w:rPr/>
        <w:t xml:space="preserve">Project Close-Out Services</w:t>
      </w:r>
    </w:p>
    <w:p>
      <w:pPr>
        <w:spacing w:before="0" w:after="0"/>
        <w:pStyle w:val="ListParagraph"/>
        <w:ind w:left="720"/>
        <w:numPr>
          <w:ilvl w:val="0"/>
          <w:numId w:val="4"/>
        </w:numPr>
      </w:pPr>
      <w:r>
        <w:rPr/>
        <w:t xml:space="preserve">Training, Induction &amp; Capability</w:t>
      </w:r>
    </w:p>
    <w:p>
      <w:pPr>
        <w:spacing w:before="0" w:after="0"/>
        <w:pStyle w:val="ListParagraph"/>
        <w:ind w:left="720"/>
        <w:numPr>
          <w:ilvl w:val="0"/>
          <w:numId w:val="4"/>
        </w:numPr>
      </w:pPr>
      <w:r>
        <w:rPr/>
        <w:t xml:space="preserve">Short-Term Fill-Ins &amp; Technical Support</w:t>
      </w:r>
    </w:p>
    <w:p>
      <w:pPr>
        <w:pBdr>
          <w:bottom w:val="single" w:sz="6" w:space="1" w:color="auto"/>
        </w:pBdr>
        <w:spacing w:before="0" w:after="0" w:line="1" w:lineRule="auto"/>
      </w:pPr>
    </w:p>
    <w:p>
      <w:pPr>
        <w:pStyle w:val="Heading2"/>
        <w:keepNext/>
      </w:pPr>
      <w:r>
        <w:rPr/>
        <w:t xml:space="preserve">Service Detail Pages (</w:t>
      </w:r>
      <w:r>
        <w:rPr>
          <w:rStyle w:val="Code"/>
        </w:rPr>
        <w:t xml:space="preserve">/services/[slug]</w:t>
      </w:r>
      <w:r>
        <w:rPr/>
        <w:t xml:space="preserve">)</w:t>
      </w:r>
    </w:p>
    <w:p>
      <w:pPr/>
      <w:r>
        <w:rPr/>
        <w:t xml:space="preserve">Each service lives as a content collection entry (</w:t>
      </w:r>
      <w:r>
        <w:rPr>
          <w:rStyle w:val="Code"/>
        </w:rPr>
        <w:t xml:space="preserve">src/content/services/</w:t>
      </w:r>
      <w:r>
        <w:rPr/>
        <w:t xml:space="preserve">). Below are </w:t>
      </w:r>
      <w:r>
        <w:rPr>
          <w:b/>
        </w:rPr>
        <w:t xml:space="preserve">example outlines</w:t>
      </w:r>
      <w:r>
        <w:rPr/>
        <w:t xml:space="preserve"> for two key services.</w:t>
      </w:r>
    </w:p>
    <w:p>
      <w:pPr>
        <w:pBdr>
          <w:bottom w:val="single" w:sz="6" w:space="1" w:color="auto"/>
        </w:pBdr>
        <w:spacing w:before="0" w:after="0" w:line="1" w:lineRule="auto"/>
      </w:pPr>
    </w:p>
    <w:p>
      <w:pPr>
        <w:pStyle w:val="Heading3"/>
        <w:keepNext/>
      </w:pPr>
      <w:r>
        <w:rPr/>
        <w:t xml:space="preserve">Example 1: Project Start-Up Services</w:t>
      </w:r>
    </w:p>
    <w:p>
      <w:pPr>
        <w:pStyle w:val="Heading4"/>
        <w:keepNext/>
      </w:pPr>
      <w:r>
        <w:rPr/>
        <w:t xml:space="preserve">Title</w:t>
      </w:r>
    </w:p>
    <w:p>
      <w:pPr/>
      <w:r>
        <w:rPr/>
        <w:t xml:space="preserve">Project Start-Up Services</w:t>
      </w:r>
    </w:p>
    <w:p>
      <w:pPr>
        <w:pStyle w:val="Heading4"/>
        <w:keepNext/>
      </w:pPr>
      <w:r>
        <w:rPr/>
        <w:t xml:space="preserve">Overview</w:t>
      </w:r>
    </w:p>
    <w:p>
      <w:pPr/>
      <w:r>
        <w:rPr/>
        <w:t xml:space="preserve">Explain how MESCo sets up projects for success before the first shovel hits the ground. Mention WHSMPs, risk registers, management plans, mobilisation checklists, and engineering folder structures.</w:t>
      </w:r>
    </w:p>
    <w:p>
      <w:pPr>
        <w:pStyle w:val="Heading4"/>
        <w:keepNext/>
      </w:pPr>
      <w:r>
        <w:rPr/>
        <w:t xml:space="preserve">The Problem</w:t>
      </w:r>
    </w:p>
    <w:p>
      <w:pPr/>
      <w:r>
        <w:rPr/>
        <w:t xml:space="preserve">Projects often begin before these systems exist, leading to delays, non-compliance, and costly rework.</w:t>
      </w:r>
    </w:p>
    <w:p>
      <w:pPr>
        <w:pStyle w:val="Heading4"/>
        <w:keepNext/>
      </w:pPr>
      <w:r>
        <w:rPr/>
        <w:t xml:space="preserve">What’s Included</w:t>
      </w:r>
    </w:p>
    <w:p>
      <w:pPr>
        <w:spacing w:before="0" w:after="0"/>
        <w:pStyle w:val="ListParagraph"/>
        <w:ind w:left="720"/>
        <w:numPr>
          <w:ilvl w:val="0"/>
          <w:numId w:val="5"/>
        </w:numPr>
      </w:pPr>
      <w:r>
        <w:rPr/>
        <w:t xml:space="preserve">WHS Management Plans (WHSMPs)</w:t>
      </w:r>
    </w:p>
    <w:p>
      <w:pPr>
        <w:spacing w:before="0" w:after="0"/>
        <w:pStyle w:val="ListParagraph"/>
        <w:ind w:left="720"/>
        <w:numPr>
          <w:ilvl w:val="0"/>
          <w:numId w:val="5"/>
        </w:numPr>
      </w:pPr>
      <w:r>
        <w:rPr/>
        <w:t xml:space="preserve">Risk Registers</w:t>
      </w:r>
    </w:p>
    <w:p>
      <w:pPr>
        <w:spacing w:before="0" w:after="0"/>
        <w:pStyle w:val="ListParagraph"/>
        <w:ind w:left="720"/>
        <w:numPr>
          <w:ilvl w:val="0"/>
          <w:numId w:val="5"/>
        </w:numPr>
      </w:pPr>
      <w:r>
        <w:rPr/>
        <w:t xml:space="preserve">Project Management Plans</w:t>
      </w:r>
    </w:p>
    <w:p>
      <w:pPr>
        <w:spacing w:before="0" w:after="0"/>
        <w:pStyle w:val="ListParagraph"/>
        <w:ind w:left="720"/>
        <w:numPr>
          <w:ilvl w:val="0"/>
          <w:numId w:val="5"/>
        </w:numPr>
      </w:pPr>
      <w:r>
        <w:rPr/>
        <w:t xml:space="preserve">Mobilisation Checklists</w:t>
      </w:r>
    </w:p>
    <w:p>
      <w:pPr>
        <w:spacing w:before="0" w:after="0"/>
        <w:pStyle w:val="ListParagraph"/>
        <w:ind w:left="720"/>
        <w:numPr>
          <w:ilvl w:val="0"/>
          <w:numId w:val="5"/>
        </w:numPr>
      </w:pPr>
      <w:r>
        <w:rPr/>
        <w:t xml:space="preserve">Document &amp; Folder Setup</w:t>
      </w:r>
    </w:p>
    <w:p>
      <w:pPr>
        <w:pStyle w:val="Heading4"/>
        <w:keepNext/>
      </w:pPr>
      <w:r>
        <w:rPr/>
        <w:t xml:space="preserve">How It Works</w:t>
      </w:r>
    </w:p>
    <w:p>
      <w:pPr/>
      <w:r>
        <w:rPr/>
        <w:t xml:space="preserve">Describe the MESCo start-up process:</w:t>
      </w:r>
    </w:p>
    <w:p>
      <w:pPr>
        <w:spacing w:before="0" w:after="0"/>
        <w:pStyle w:val="ListParagraph"/>
        <w:ind w:left="720"/>
        <w:numPr>
          <w:ilvl w:val="0"/>
          <w:numId w:val="6"/>
        </w:numPr>
      </w:pPr>
      <w:r>
        <w:rPr/>
        <w:t xml:space="preserve">Review design deliverables and client requirements.</w:t>
      </w:r>
    </w:p>
    <w:p>
      <w:pPr>
        <w:spacing w:before="0" w:after="0"/>
        <w:pStyle w:val="ListParagraph"/>
        <w:ind w:left="720"/>
        <w:numPr>
          <w:ilvl w:val="0"/>
          <w:numId w:val="6"/>
        </w:numPr>
      </w:pPr>
      <w:r>
        <w:rPr/>
        <w:t xml:space="preserve">Build project-specific templates and registers.</w:t>
      </w:r>
    </w:p>
    <w:p>
      <w:pPr>
        <w:spacing w:before="0" w:after="0"/>
        <w:pStyle w:val="ListParagraph"/>
        <w:ind w:left="720"/>
        <w:numPr>
          <w:ilvl w:val="0"/>
          <w:numId w:val="6"/>
        </w:numPr>
      </w:pPr>
      <w:r>
        <w:rPr/>
        <w:t xml:space="preserve">Prepare mobilisation documentation.</w:t>
      </w:r>
    </w:p>
    <w:p>
      <w:pPr>
        <w:spacing w:before="0" w:after="0"/>
        <w:pStyle w:val="ListParagraph"/>
        <w:ind w:left="720"/>
        <w:numPr>
          <w:ilvl w:val="0"/>
          <w:numId w:val="6"/>
        </w:numPr>
      </w:pPr>
      <w:r>
        <w:rPr/>
        <w:t xml:space="preserve">Deliver to the site team for launch.</w:t>
      </w:r>
    </w:p>
    <w:p>
      <w:pPr>
        <w:pStyle w:val="Heading4"/>
        <w:keepNext/>
      </w:pPr>
      <w:r>
        <w:rPr/>
        <w:t xml:space="preserve">Deliverables</w:t>
      </w:r>
    </w:p>
    <w:p>
      <w:pPr/>
      <w:r>
        <w:rPr/>
        <w:t xml:space="preserve">List specific outputs or sample file types (editable templates, registers, checklists).</w:t>
      </w:r>
    </w:p>
    <w:p>
      <w:pPr>
        <w:pStyle w:val="Heading4"/>
        <w:keepNext/>
      </w:pPr>
      <w:r>
        <w:rPr/>
        <w:t xml:space="preserve">Who It’s For</w:t>
      </w:r>
    </w:p>
    <w:p>
      <w:pPr/>
      <w:r>
        <w:rPr/>
        <w:t xml:space="preserve">Contractors, subcontractors, and EPCM clients mobilising new projects or tenders.</w:t>
      </w:r>
    </w:p>
    <w:p>
      <w:pPr>
        <w:pStyle w:val="Heading4"/>
        <w:keepNext/>
      </w:pPr>
      <w:r>
        <w:rPr/>
        <w:t xml:space="preserve">Related Services</w:t>
      </w:r>
    </w:p>
    <w:p>
      <w:pPr/>
      <w:r>
        <w:rPr/>
        <w:t xml:space="preserve">Link to:</w:t>
      </w:r>
    </w:p>
    <w:p>
      <w:pPr>
        <w:spacing w:before="0" w:after="0"/>
        <w:pStyle w:val="ListParagraph"/>
        <w:ind w:left="720"/>
        <w:numPr>
          <w:ilvl w:val="0"/>
          <w:numId w:val="7"/>
        </w:numPr>
      </w:pPr>
      <w:r>
        <w:rPr/>
        <w:t xml:space="preserve">Systems Design &amp; Engineering Administration</w:t>
      </w:r>
    </w:p>
    <w:p>
      <w:pPr>
        <w:spacing w:before="0" w:after="0"/>
        <w:pStyle w:val="ListParagraph"/>
        <w:ind w:left="720"/>
        <w:numPr>
          <w:ilvl w:val="0"/>
          <w:numId w:val="7"/>
        </w:numPr>
      </w:pPr>
      <w:r>
        <w:rPr/>
        <w:t xml:space="preserve">Project Familiarisation &amp; Delivery Tools</w:t>
      </w:r>
    </w:p>
    <w:p>
      <w:pPr>
        <w:pBdr>
          <w:bottom w:val="single" w:sz="6" w:space="1" w:color="auto"/>
        </w:pBdr>
        <w:spacing w:before="0" w:after="0" w:line="1" w:lineRule="auto"/>
      </w:pPr>
    </w:p>
    <w:p>
      <w:pPr>
        <w:pStyle w:val="Heading3"/>
        <w:keepNext/>
      </w:pPr>
      <w:r>
        <w:rPr/>
        <w:t xml:space="preserve">Example 2: HSE &amp; Environmental Compliance</w:t>
      </w:r>
    </w:p>
    <w:p>
      <w:pPr>
        <w:pStyle w:val="Heading4"/>
        <w:keepNext/>
      </w:pPr>
      <w:r>
        <w:rPr/>
        <w:t xml:space="preserve">Title</w:t>
      </w:r>
    </w:p>
    <w:p>
      <w:pPr/>
      <w:r>
        <w:rPr/>
        <w:t xml:space="preserve">HSE &amp; Environmental Compliance</w:t>
      </w:r>
    </w:p>
    <w:p>
      <w:pPr>
        <w:pStyle w:val="Heading4"/>
        <w:keepNext/>
      </w:pPr>
      <w:r>
        <w:rPr/>
        <w:t xml:space="preserve">Overview</w:t>
      </w:r>
    </w:p>
    <w:p>
      <w:pPr/>
      <w:r>
        <w:rPr/>
        <w:t xml:space="preserve">MESCo develops and maintains compliant health, safety, and environmental frameworks to keep sites running safely and within regulation.</w:t>
      </w:r>
    </w:p>
    <w:p>
      <w:pPr>
        <w:pStyle w:val="Heading4"/>
        <w:keepNext/>
      </w:pPr>
      <w:r>
        <w:rPr/>
        <w:t xml:space="preserve">The Problem</w:t>
      </w:r>
    </w:p>
    <w:p>
      <w:pPr/>
      <w:r>
        <w:rPr/>
        <w:t xml:space="preserve">Site teams often juggle paperwork, SWMSs, and environmental reporting on top of daily delivery — leaving gaps in compliance and exposure to audit risk.</w:t>
      </w:r>
    </w:p>
    <w:p>
      <w:pPr>
        <w:pStyle w:val="Heading4"/>
        <w:keepNext/>
      </w:pPr>
      <w:r>
        <w:rPr/>
        <w:t xml:space="preserve">What’s Included</w:t>
      </w:r>
    </w:p>
    <w:p>
      <w:pPr>
        <w:spacing w:before="0" w:after="0"/>
        <w:pStyle w:val="ListParagraph"/>
        <w:ind w:left="720"/>
        <w:numPr>
          <w:ilvl w:val="0"/>
          <w:numId w:val="8"/>
        </w:numPr>
      </w:pPr>
      <w:r>
        <w:rPr/>
        <w:t xml:space="preserve">WHS Management Plans (WHSMPs)</w:t>
      </w:r>
    </w:p>
    <w:p>
      <w:pPr>
        <w:spacing w:before="0" w:after="0"/>
        <w:pStyle w:val="ListParagraph"/>
        <w:ind w:left="720"/>
        <w:numPr>
          <w:ilvl w:val="0"/>
          <w:numId w:val="8"/>
        </w:numPr>
      </w:pPr>
      <w:r>
        <w:rPr/>
        <w:t xml:space="preserve">Safe Work Method Statements (SWMSs)</w:t>
      </w:r>
    </w:p>
    <w:p>
      <w:pPr>
        <w:spacing w:before="0" w:after="0"/>
        <w:pStyle w:val="ListParagraph"/>
        <w:ind w:left="720"/>
        <w:numPr>
          <w:ilvl w:val="0"/>
          <w:numId w:val="8"/>
        </w:numPr>
      </w:pPr>
      <w:r>
        <w:rPr/>
        <w:t xml:space="preserve">Environmental Plans</w:t>
      </w:r>
    </w:p>
    <w:p>
      <w:pPr>
        <w:spacing w:before="0" w:after="0"/>
        <w:pStyle w:val="ListParagraph"/>
        <w:ind w:left="720"/>
        <w:numPr>
          <w:ilvl w:val="0"/>
          <w:numId w:val="8"/>
        </w:numPr>
      </w:pPr>
      <w:r>
        <w:rPr/>
        <w:t xml:space="preserve">Toolbox Talk Packs</w:t>
      </w:r>
    </w:p>
    <w:p>
      <w:pPr>
        <w:spacing w:before="0" w:after="0"/>
        <w:pStyle w:val="ListParagraph"/>
        <w:ind w:left="720"/>
        <w:numPr>
          <w:ilvl w:val="0"/>
          <w:numId w:val="8"/>
        </w:numPr>
      </w:pPr>
      <w:r>
        <w:rPr/>
        <w:t xml:space="preserve">Site Audits</w:t>
      </w:r>
    </w:p>
    <w:p>
      <w:pPr>
        <w:spacing w:before="0" w:after="0"/>
        <w:pStyle w:val="ListParagraph"/>
        <w:ind w:left="720"/>
        <w:numPr>
          <w:ilvl w:val="0"/>
          <w:numId w:val="8"/>
        </w:numPr>
      </w:pPr>
      <w:r>
        <w:rPr/>
        <w:t xml:space="preserve">Close-Out Documentation</w:t>
      </w:r>
    </w:p>
    <w:p>
      <w:pPr>
        <w:pStyle w:val="Heading4"/>
        <w:keepNext/>
      </w:pPr>
      <w:r>
        <w:rPr/>
        <w:t xml:space="preserve">How It Works</w:t>
      </w:r>
    </w:p>
    <w:p>
      <w:pPr>
        <w:spacing w:before="0" w:after="0"/>
        <w:pStyle w:val="ListParagraph"/>
        <w:ind w:left="720"/>
        <w:numPr>
          <w:ilvl w:val="0"/>
          <w:numId w:val="9"/>
        </w:numPr>
      </w:pPr>
      <w:r>
        <w:rPr/>
        <w:t xml:space="preserve">Review project scope and risk profile.</w:t>
      </w:r>
    </w:p>
    <w:p>
      <w:pPr>
        <w:spacing w:before="0" w:after="0"/>
        <w:pStyle w:val="ListParagraph"/>
        <w:ind w:left="720"/>
        <w:numPr>
          <w:ilvl w:val="0"/>
          <w:numId w:val="9"/>
        </w:numPr>
      </w:pPr>
      <w:r>
        <w:rPr/>
        <w:t xml:space="preserve">Create compliant plans and documentation packs.</w:t>
      </w:r>
    </w:p>
    <w:p>
      <w:pPr>
        <w:spacing w:before="0" w:after="0"/>
        <w:pStyle w:val="ListParagraph"/>
        <w:ind w:left="720"/>
        <w:numPr>
          <w:ilvl w:val="0"/>
          <w:numId w:val="9"/>
        </w:numPr>
      </w:pPr>
      <w:r>
        <w:rPr/>
        <w:t xml:space="preserve">Support ongoing site audits and updates.</w:t>
      </w:r>
    </w:p>
    <w:p>
      <w:pPr>
        <w:spacing w:before="0" w:after="0"/>
        <w:pStyle w:val="ListParagraph"/>
        <w:ind w:left="720"/>
        <w:numPr>
          <w:ilvl w:val="0"/>
          <w:numId w:val="9"/>
        </w:numPr>
      </w:pPr>
      <w:r>
        <w:rPr/>
        <w:t xml:space="preserve">Compile close-out and environmental handover reports.</w:t>
      </w:r>
    </w:p>
    <w:p>
      <w:pPr>
        <w:pStyle w:val="Heading4"/>
        <w:keepNext/>
      </w:pPr>
      <w:r>
        <w:rPr/>
        <w:t xml:space="preserve">Deliverables</w:t>
      </w:r>
    </w:p>
    <w:p>
      <w:pPr/>
      <w:r>
        <w:rPr/>
        <w:t xml:space="preserve">Example outputs: PDF/Word templates, toolbox packs, audit registers.</w:t>
      </w:r>
    </w:p>
    <w:p>
      <w:pPr>
        <w:pStyle w:val="Heading4"/>
        <w:keepNext/>
      </w:pPr>
      <w:r>
        <w:rPr/>
        <w:t xml:space="preserve">Who It’s For</w:t>
      </w:r>
    </w:p>
    <w:p>
      <w:pPr/>
      <w:r>
        <w:rPr/>
        <w:t xml:space="preserve">Contractors or clients who need complete, audit-ready HSE and environmental documentation.</w:t>
      </w:r>
    </w:p>
    <w:p>
      <w:pPr>
        <w:pStyle w:val="Heading4"/>
        <w:keepNext/>
      </w:pPr>
      <w:r>
        <w:rPr/>
        <w:t xml:space="preserve">Related Services</w:t>
      </w:r>
    </w:p>
    <w:p>
      <w:pPr>
        <w:spacing w:before="0" w:after="0"/>
        <w:pStyle w:val="ListParagraph"/>
        <w:ind w:left="720"/>
        <w:numPr>
          <w:ilvl w:val="0"/>
          <w:numId w:val="10"/>
        </w:numPr>
      </w:pPr>
      <w:r>
        <w:rPr/>
        <w:t xml:space="preserve">ISO Systems &amp; Audit Support</w:t>
      </w:r>
    </w:p>
    <w:p>
      <w:pPr>
        <w:spacing w:before="0" w:after="0"/>
        <w:pStyle w:val="ListParagraph"/>
        <w:ind w:left="720"/>
        <w:numPr>
          <w:ilvl w:val="0"/>
          <w:numId w:val="10"/>
        </w:numPr>
      </w:pPr>
      <w:r>
        <w:rPr/>
        <w:t xml:space="preserve">Training, Induction &amp; Capability</w:t>
      </w:r>
    </w:p>
    <w:p>
      <w:pPr>
        <w:pBdr>
          <w:bottom w:val="single" w:sz="6" w:space="1" w:color="auto"/>
        </w:pBdr>
        <w:spacing w:before="0" w:after="0" w:line="1" w:lineRule="auto"/>
      </w:pPr>
    </w:p>
    <w:p>
      <w:pPr>
        <w:pStyle w:val="Heading2"/>
        <w:keepNext/>
      </w:pPr>
      <w:r>
        <w:rPr/>
        <w:t xml:space="preserve">🏗️ Industries (</w:t>
      </w:r>
      <w:r>
        <w:rPr>
          <w:rStyle w:val="Code"/>
        </w:rPr>
        <w:t xml:space="preserve">/industries</w:t>
      </w:r>
      <w:r>
        <w:rPr/>
        <w:t xml:space="preserve">)</w:t>
      </w:r>
    </w:p>
    <w:p>
      <w:pPr/>
      <w:r>
        <w:rPr>
          <w:b/>
        </w:rPr>
        <w:t xml:space="preserve">Purpose:</w:t>
      </w:r>
      <w:r>
        <w:rPr/>
        <w:t xml:space="preserve"> Show sector understanding and applicability to industries. This is partially for clients to use but also to show search engine and AI scrapers what industry you work in.</w:t>
      </w:r>
    </w:p>
    <w:p>
      <w:pPr>
        <w:pStyle w:val="Heading3"/>
        <w:keepNext/>
      </w:pPr>
      <w:r>
        <w:rPr/>
        <w:t xml:space="preserve">Headings</w:t>
      </w:r>
    </w:p>
    <w:p>
      <w:pPr>
        <w:pStyle w:val="Heading4"/>
        <w:keepNext/>
      </w:pPr>
      <w:r>
        <w:rPr/>
        <w:t xml:space="preserve">Supporting Projects Across Sectors</w:t>
      </w:r>
    </w:p>
    <w:p>
      <w:pPr/>
      <w:r>
        <w:rPr/>
        <w:t xml:space="preserve">Intro: MESCo’s systems apply across major Australian industries.</w:t>
      </w:r>
    </w:p>
    <w:p>
      <w:pPr>
        <w:pStyle w:val="Heading4"/>
        <w:keepNext/>
      </w:pPr>
      <w:r>
        <w:rPr/>
        <w:t xml:space="preserve">Sectors</w:t>
      </w:r>
    </w:p>
    <w:p>
      <w:pPr>
        <w:spacing w:before="0" w:after="0"/>
        <w:pStyle w:val="ListParagraph"/>
        <w:ind w:left="720"/>
        <w:numPr>
          <w:ilvl w:val="0"/>
          <w:numId w:val="11"/>
        </w:numPr>
      </w:pPr>
      <w:r>
        <w:rPr>
          <w:b/>
        </w:rPr>
        <w:t xml:space="preserve">Construction:</w:t>
      </w:r>
      <w:r>
        <w:rPr/>
        <w:t xml:space="preserve"> Focus on QA/QC and document control.</w:t>
      </w:r>
    </w:p>
    <w:p>
      <w:pPr>
        <w:spacing w:before="0" w:after="0"/>
        <w:pStyle w:val="ListParagraph"/>
        <w:ind w:left="720"/>
        <w:numPr>
          <w:ilvl w:val="0"/>
          <w:numId w:val="11"/>
        </w:numPr>
      </w:pPr>
      <w:r>
        <w:rPr>
          <w:b/>
        </w:rPr>
        <w:t xml:space="preserve">Resources &amp; Mining:</w:t>
      </w:r>
      <w:r>
        <w:rPr/>
        <w:t xml:space="preserve"> Environmental, safety, and audit readiness.</w:t>
      </w:r>
    </w:p>
    <w:p>
      <w:pPr>
        <w:spacing w:before="0" w:after="0"/>
        <w:pStyle w:val="ListParagraph"/>
        <w:ind w:left="720"/>
        <w:numPr>
          <w:ilvl w:val="0"/>
          <w:numId w:val="11"/>
        </w:numPr>
      </w:pPr>
      <w:r>
        <w:rPr>
          <w:b/>
        </w:rPr>
        <w:t xml:space="preserve">Infrastructure &amp; Transport:</w:t>
      </w:r>
      <w:r>
        <w:rPr/>
        <w:t xml:space="preserve"> Complex multi-contractor coordination.</w:t>
      </w:r>
    </w:p>
    <w:p>
      <w:pPr>
        <w:spacing w:before="0" w:after="0"/>
        <w:pStyle w:val="ListParagraph"/>
        <w:ind w:left="720"/>
        <w:numPr>
          <w:ilvl w:val="0"/>
          <w:numId w:val="11"/>
        </w:numPr>
      </w:pPr>
      <w:r>
        <w:rPr>
          <w:b/>
        </w:rPr>
        <w:t xml:space="preserve">Energy &amp; Renewables:</w:t>
      </w:r>
      <w:r>
        <w:rPr/>
        <w:t xml:space="preserve"> ISO integration and compliance reporting.</w:t>
      </w:r>
    </w:p>
    <w:p>
      <w:pPr>
        <w:spacing w:before="0" w:after="0"/>
        <w:pStyle w:val="ListParagraph"/>
        <w:ind w:left="720"/>
        <w:numPr>
          <w:ilvl w:val="0"/>
          <w:numId w:val="11"/>
        </w:numPr>
      </w:pPr>
      <w:r>
        <w:rPr>
          <w:b/>
        </w:rPr>
        <w:t xml:space="preserve">Government Projects:</w:t>
      </w:r>
      <w:r>
        <w:rPr/>
        <w:t xml:space="preserve"> Documentation and certification requirements.</w:t>
      </w:r>
    </w:p>
    <w:p>
      <w:pPr/>
      <w:r>
        <w:rPr/>
        <w:t xml:space="preserve">Each section can link to relevant case studies or service examples.</w:t>
      </w:r>
    </w:p>
    <w:p>
      <w:pPr>
        <w:pBdr>
          <w:bottom w:val="single" w:sz="6" w:space="1" w:color="auto"/>
        </w:pBdr>
        <w:spacing w:before="0" w:after="0" w:line="1" w:lineRule="auto"/>
      </w:pPr>
    </w:p>
    <w:p>
      <w:pPr>
        <w:pStyle w:val="Heading2"/>
        <w:keepNext/>
      </w:pPr>
      <w:r>
        <w:rPr/>
        <w:t xml:space="preserve">Case Studies (</w:t>
      </w:r>
      <w:r>
        <w:rPr>
          <w:rStyle w:val="Code"/>
        </w:rPr>
        <w:t xml:space="preserve">/projects</w:t>
      </w:r>
      <w:r>
        <w:rPr/>
        <w:t xml:space="preserve"> or </w:t>
      </w:r>
      <w:r>
        <w:rPr>
          <w:rStyle w:val="Code"/>
        </w:rPr>
        <w:t xml:space="preserve">/case-studies</w:t>
      </w:r>
      <w:r>
        <w:rPr/>
        <w:t xml:space="preserve">)</w:t>
      </w:r>
    </w:p>
    <w:p>
      <w:pPr/>
      <w:r>
        <w:rPr>
          <w:b/>
        </w:rPr>
        <w:t xml:space="preserve">Purpose:</w:t>
      </w:r>
      <w:r>
        <w:rPr/>
        <w:t xml:space="preserve"> Provide credibility and proof of outcomes.</w:t>
      </w:r>
    </w:p>
    <w:p>
      <w:pPr>
        <w:pStyle w:val="Heading3"/>
        <w:keepNext/>
      </w:pPr>
      <w:r>
        <w:rPr/>
        <w:t xml:space="preserve">Headings</w:t>
      </w:r>
    </w:p>
    <w:p>
      <w:pPr>
        <w:pStyle w:val="Heading4"/>
        <w:keepNext/>
      </w:pPr>
      <w:r>
        <w:rPr/>
        <w:t xml:space="preserve">Featured Projects</w:t>
      </w:r>
    </w:p>
    <w:p>
      <w:pPr/>
      <w:r>
        <w:rPr/>
        <w:t xml:space="preserve">Gallery or card grid of major case studies.</w:t>
      </w:r>
    </w:p>
    <w:p>
      <w:pPr/>
      <w:r>
        <w:rPr/>
        <w:t xml:space="preserve">Each case study (content collection) includes:</w:t>
      </w:r>
    </w:p>
    <w:p>
      <w:pPr>
        <w:spacing w:before="0" w:after="0"/>
        <w:pStyle w:val="ListParagraph"/>
        <w:ind w:left="720"/>
        <w:numPr>
          <w:ilvl w:val="0"/>
          <w:numId w:val="12"/>
        </w:numPr>
      </w:pPr>
      <w:r>
        <w:rPr>
          <w:b/>
        </w:rPr>
        <w:t xml:space="preserve">Project Overview</w:t>
      </w:r>
    </w:p>
    <w:p>
      <w:pPr>
        <w:spacing w:before="0" w:after="0"/>
        <w:pStyle w:val="ListParagraph"/>
        <w:ind w:left="720"/>
        <w:numPr>
          <w:ilvl w:val="0"/>
          <w:numId w:val="12"/>
        </w:numPr>
      </w:pPr>
      <w:r>
        <w:rPr>
          <w:b/>
        </w:rPr>
        <w:t xml:space="preserve">The Challenge</w:t>
      </w:r>
    </w:p>
    <w:p>
      <w:pPr>
        <w:spacing w:before="0" w:after="0"/>
        <w:pStyle w:val="ListParagraph"/>
        <w:ind w:left="720"/>
        <w:numPr>
          <w:ilvl w:val="0"/>
          <w:numId w:val="12"/>
        </w:numPr>
      </w:pPr>
      <w:r>
        <w:rPr>
          <w:b/>
        </w:rPr>
        <w:t xml:space="preserve">MESCo’s Role</w:t>
      </w:r>
    </w:p>
    <w:p>
      <w:pPr>
        <w:spacing w:before="0" w:after="0"/>
        <w:pStyle w:val="ListParagraph"/>
        <w:ind w:left="720"/>
        <w:numPr>
          <w:ilvl w:val="0"/>
          <w:numId w:val="12"/>
        </w:numPr>
      </w:pPr>
      <w:r>
        <w:rPr>
          <w:b/>
        </w:rPr>
        <w:t xml:space="preserve">Key Deliverables</w:t>
      </w:r>
    </w:p>
    <w:p>
      <w:pPr>
        <w:spacing w:before="0" w:after="0"/>
        <w:pStyle w:val="ListParagraph"/>
        <w:ind w:left="720"/>
        <w:numPr>
          <w:ilvl w:val="0"/>
          <w:numId w:val="12"/>
        </w:numPr>
      </w:pPr>
      <w:r>
        <w:rPr>
          <w:b/>
        </w:rPr>
        <w:t xml:space="preserve">Outcome / Audit Results</w:t>
      </w:r>
    </w:p>
    <w:p>
      <w:pPr>
        <w:spacing w:before="0" w:after="0"/>
        <w:pStyle w:val="ListParagraph"/>
        <w:ind w:left="720"/>
        <w:numPr>
          <w:ilvl w:val="0"/>
          <w:numId w:val="12"/>
        </w:numPr>
      </w:pPr>
      <w:r>
        <w:rPr>
          <w:b/>
        </w:rPr>
        <w:t xml:space="preserve">Lessons Learned</w:t>
      </w:r>
    </w:p>
    <w:p>
      <w:pPr>
        <w:pBdr>
          <w:bottom w:val="single" w:sz="6" w:space="1" w:color="auto"/>
        </w:pBdr>
        <w:spacing w:before="0" w:after="0" w:line="1" w:lineRule="auto"/>
      </w:pPr>
    </w:p>
    <w:p>
      <w:pPr>
        <w:pStyle w:val="Heading2"/>
        <w:keepNext/>
      </w:pPr>
      <w:r>
        <w:rPr/>
        <w:t xml:space="preserve">Contact (</w:t>
      </w:r>
      <w:r>
        <w:rPr>
          <w:rStyle w:val="Code"/>
        </w:rPr>
        <w:t xml:space="preserve">/contact</w:t>
      </w:r>
      <w:r>
        <w:rPr/>
        <w:t xml:space="preserve">)</w:t>
      </w:r>
    </w:p>
    <w:p>
      <w:pPr/>
      <w:r>
        <w:rPr>
          <w:b/>
        </w:rPr>
        <w:t xml:space="preserve">Purpose:</w:t>
      </w:r>
      <w:r>
        <w:rPr/>
        <w:t xml:space="preserve"> Convert interest to enquiry.</w:t>
      </w:r>
    </w:p>
    <w:p>
      <w:pPr>
        <w:pStyle w:val="Heading3"/>
        <w:keepNext/>
      </w:pPr>
      <w:r>
        <w:rPr/>
        <w:t xml:space="preserve">Headings</w:t>
      </w:r>
    </w:p>
    <w:p>
      <w:pPr>
        <w:pStyle w:val="Heading4"/>
        <w:keepNext/>
      </w:pPr>
      <w:r>
        <w:rPr/>
        <w:t xml:space="preserve">Let’s Get Your Project Started Right</w:t>
      </w:r>
    </w:p>
    <w:p>
      <w:pPr/>
      <w:r>
        <w:rPr/>
        <w:t xml:space="preserve">Short invitation text explaining that MESCo supports all project sizes and stages.</w:t>
      </w:r>
    </w:p>
    <w:p>
      <w:pPr>
        <w:pStyle w:val="Heading4"/>
        <w:keepNext/>
      </w:pPr>
      <w:r>
        <w:rPr/>
        <w:t xml:space="preserve">Enquiry Form</w:t>
      </w:r>
    </w:p>
    <w:p>
      <w:pPr/>
      <w:r>
        <w:rPr/>
        <w:t xml:space="preserve">Fields: Name, Company, Role, Email, Phone, Project Stage, Services Needed, Message.</w:t>
      </w:r>
    </w:p>
    <w:p>
      <w:pPr>
        <w:pStyle w:val="Heading4"/>
        <w:keepNext/>
      </w:pPr>
      <w:r>
        <w:rPr/>
        <w:t xml:space="preserve">Direct Contact</w:t>
      </w:r>
    </w:p>
    <w:p>
      <w:pPr/>
      <w:r>
        <w:rPr/>
        <w:t xml:space="preserve">Phone, Email, Office Location.</w:t>
      </w:r>
    </w:p>
    <w:p>
      <w:pPr>
        <w:pStyle w:val="Heading4"/>
        <w:keepNext/>
      </w:pPr>
      <w:r>
        <w:rPr/>
        <w:t xml:space="preserve">Service Regions</w:t>
      </w:r>
    </w:p>
    <w:p>
      <w:pPr/>
      <w:r>
        <w:rPr/>
        <w:t xml:space="preserve">Map of Australia showing primary service zones.</w:t>
      </w:r>
    </w:p>
    <w:p>
      <w:pPr>
        <w:pBdr>
          <w:bottom w:val="single" w:sz="6" w:space="1" w:color="auto"/>
        </w:pBdr>
        <w:spacing w:before="0" w:after="0" w:line="1" w:lineRule="auto"/>
      </w:pPr>
    </w:p>
    <w:p>
      <w:pPr>
        <w:pStyle w:val="Heading2"/>
        <w:keepNext/>
      </w:pPr>
      <w:r>
        <w:rPr/>
        <w:t xml:space="preserve">Legal &amp; Utility Pages</w:t>
      </w:r>
    </w:p>
    <w:p>
      <w:pPr>
        <w:spacing w:before="0" w:after="0"/>
        <w:pStyle w:val="ListParagraph"/>
        <w:ind w:left="720"/>
        <w:numPr>
          <w:ilvl w:val="0"/>
          <w:numId w:val="13"/>
        </w:numPr>
      </w:pPr>
      <w:r>
        <w:rPr>
          <w:rStyle w:val="Code"/>
        </w:rPr>
        <w:t xml:space="preserve">/privacy-policy</w:t>
      </w:r>
      <w:r>
        <w:rPr/>
        <w:t xml:space="preserve"> - have you got a privacy policy yet?</w:t>
      </w:r>
    </w:p>
    <w:p>
      <w:pPr>
        <w:spacing w:before="0" w:after="0"/>
        <w:pStyle w:val="ListParagraph"/>
        <w:ind w:left="720"/>
        <w:numPr>
          <w:ilvl w:val="0"/>
          <w:numId w:val="13"/>
        </w:numPr>
      </w:pPr>
      <w:r>
        <w:rPr>
          <w:rStyle w:val="Code"/>
        </w:rPr>
        <w:t xml:space="preserve">/terms</w:t>
      </w:r>
      <w:r>
        <w:rPr/>
        <w:t xml:space="preserve"> - have you got a terms and conditions yet? We can use a boiler plate website use terms and conditions</w:t>
      </w:r>
    </w:p>
    <w:p>
      <w:pPr>
        <w:pBdr>
          <w:bottom w:val="single" w:sz="6" w:space="1" w:color="auto"/>
        </w:pBdr>
        <w:spacing w:before="0" w:after="0" w:line="1" w:lineRule="auto"/>
      </w:pPr>
    </w:p>
    <w:p>
      <w:pPr>
        <w:pStyle w:val="Heading2"/>
        <w:keepNext/>
      </w:pPr>
      <w:r>
        <w:rPr/>
        <w:t xml:space="preserve">Astro Content Collections</w:t>
      </w:r>
    </w:p>
    <w:p>
      <w:pPr/>
      <w:r>
        <w:rPr/>
        <w:t xml:space="preserve">For maintainability and SEO:</w:t>
      </w:r>
    </w:p>
    <w:tbl>
      <w:tblPr>
        <w:tblStyle w:val="TableNormal"/>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200" w:type="dxa"/>
        </w:tblCellMar>
        <w:tblLook w:val="04A0" w:firstRow="0" w:lastRow="0" w:firstColumn="0" w:lastColumn="0" w:noHBand="1" w:noVBand="1"/>
      </w:tblPr>
      <w:tblGrid>
        <w:gridCol w:w="3333.33333333333"/>
        <w:gridCol w:w="3333.33333333333"/>
        <w:gridCol w:w="3333.33333333333"/>
      </w:tblGrid>
      <w:tr>
        <w:tc>
          <w:tcPr/>
          <w:p>
            <w:pPr>
              <w:spacing w:before="0" w:after="0"/>
            </w:pPr>
            <w:r>
              <w:rPr>
                <w:b/>
              </w:rPr>
              <w:t xml:space="preserve">
            Collection
          </w:t>
            </w:r>
          </w:p>
        </w:tc>
        <w:tc>
          <w:tcPr/>
          <w:p>
            <w:pPr>
              <w:spacing w:before="0" w:after="0"/>
            </w:pPr>
            <w:r>
              <w:rPr>
                <w:b/>
              </w:rPr>
              <w:t xml:space="preserve">
            Path
          </w:t>
            </w:r>
          </w:p>
        </w:tc>
        <w:tc>
          <w:tcPr/>
          <w:p>
            <w:pPr>
              <w:spacing w:before="0" w:after="0"/>
            </w:pPr>
            <w:r>
              <w:rPr>
                <w:b/>
              </w:rPr>
              <w:t xml:space="preserve">
            Purpose
          </w:t>
            </w:r>
          </w:p>
        </w:tc>
      </w:tr>
      <w:tr>
        <w:tc>
          <w:tcPr/>
          <w:p>
            <w:pPr>
              <w:spacing w:before="0" w:after="0"/>
            </w:pPr>
            <w:r>
              <w:rPr>
                <w:rStyle w:val="Code"/>
              </w:rPr>
              <w:t xml:space="preserve">services</w:t>
            </w:r>
          </w:p>
        </w:tc>
        <w:tc>
          <w:tcPr/>
          <w:p>
            <w:pPr>
              <w:spacing w:before="0" w:after="0"/>
            </w:pPr>
            <w:r>
              <w:rPr>
                <w:rStyle w:val="Code"/>
              </w:rPr>
              <w:t xml:space="preserve">/src/content/services/</w:t>
            </w:r>
          </w:p>
        </w:tc>
        <w:tc>
          <w:tcPr/>
          <w:p>
            <w:pPr>
              <w:spacing w:before="0" w:after="0"/>
            </w:pPr>
            <w:r>
              <w:rPr/>
              <w:t xml:space="preserve">8 detailed service pages</w:t>
            </w:r>
          </w:p>
        </w:tc>
      </w:tr>
      <w:tr>
        <w:tc>
          <w:tcPr/>
          <w:p>
            <w:pPr>
              <w:spacing w:before="0" w:after="0"/>
            </w:pPr>
            <w:r>
              <w:rPr>
                <w:rStyle w:val="Code"/>
              </w:rPr>
              <w:t xml:space="preserve">case-studies</w:t>
            </w:r>
          </w:p>
        </w:tc>
        <w:tc>
          <w:tcPr/>
          <w:p>
            <w:pPr>
              <w:spacing w:before="0" w:after="0"/>
            </w:pPr>
            <w:r>
              <w:rPr>
                <w:rStyle w:val="Code"/>
              </w:rPr>
              <w:t xml:space="preserve">/src/content/case-studies/</w:t>
            </w:r>
          </w:p>
        </w:tc>
        <w:tc>
          <w:tcPr/>
          <w:p>
            <w:pPr>
              <w:spacing w:before="0" w:after="0"/>
            </w:pPr>
            <w:r>
              <w:rPr/>
              <w:t xml:space="preserve">Showcase real projects</w:t>
            </w:r>
          </w:p>
        </w:tc>
      </w:tr>
      <w:tr>
        <w:tc>
          <w:tcPr/>
          <w:p>
            <w:pPr>
              <w:spacing w:before="0" w:after="0"/>
            </w:pPr>
            <w:r>
              <w:rPr>
                <w:rStyle w:val="Code"/>
              </w:rPr>
              <w:t xml:space="preserve">industries</w:t>
            </w:r>
          </w:p>
        </w:tc>
        <w:tc>
          <w:tcPr/>
          <w:p>
            <w:pPr>
              <w:spacing w:before="0" w:after="0"/>
            </w:pPr>
            <w:r>
              <w:rPr>
                <w:rStyle w:val="Code"/>
              </w:rPr>
              <w:t xml:space="preserve">/src/content/industries/</w:t>
            </w:r>
          </w:p>
        </w:tc>
        <w:tc>
          <w:tcPr/>
          <w:p>
            <w:pPr>
              <w:spacing w:before="0" w:after="0"/>
            </w:pPr>
            <w:r>
              <w:rPr/>
              <w:t xml:space="preserve">Optional sector-specific content</w:t>
            </w:r>
          </w:p>
        </w:tc>
      </w:tr>
    </w:tbl>
  </w:body>
</w:document>
</file>

<file path=word/endnotes.xml><?xml version="1.0" encoding="utf-8"?>
<w:endnotes xmlns="http://schemas.openxmlformats.org/package/2006/relationship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mo="http://schemas.microsoft.com/office/mac/office/2008/main" xmlns:mc="http://schemas.openxmlformats.org/markup-compatibility/2006" xmlns:mv="urn:schemas-microsoft-com:mac:vml" xmlns:a="http://schemas.openxmlformats.org/drawingml/2006/main" xmlns:a14="http://schemas.microsoft.com/office/drawing/2010/main" xmlns:WX="http://schemas.microsoft.com/office/word/2003/auxHint" xmlns:pic="http://schemas.openxmlformats.org/drawingml/2006/picture" xmlns:pkg="http://schemas.microsoft.com/office/2006/xmlPackage" xmlns:aml="http://schemas.microsoft.com/aml/2001/core" mc:Ignorable="w14 w15 w16se w16cid wp14">
  <w:endnote w:type="separator" w:id="-1">
    <w:p>
      <w:pPr>
        <w:spacing w:before="0" w:after="0" w:line="240" w:lineRule="auto"/>
      </w:pPr>
      <w:r>
        <w:separator/>
      </w:r>
    </w:p>
  </w:endnote>
  <w:endnote w:type="continuationSeparator" w:id="0">
    <w:p>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00500000000000000"/>
    <w:charset w:val="00"/>
    <w:family w:val="auto"/>
    <w:pitch w:val="variable"/>
    <w:sig w:usb0="00000003" w:usb1="00000000" w:usb2="00000000" w:usb3="00000000" w:csb0="00000001" w:csb1="00000000"/>
  </w:font>
  <w:font w:name="ＭＳ 明朝">
    <w:panose1 w:val="00000000000000000000"/>
    <w:charset w:val="80"/>
    <w:family w:val="roman"/>
    <w:notTrueType/>
    <w:pitch w:val="fixed"/>
    <w:sig w:usb0="00000001" w:usb1="08070000" w:usb2="00000010" w:usb3="00000000" w:csb0="00020000" w:csb1="00000000"/>
  </w:font>
  <w:font w:name="Calibri">
    <w:altName w:val="Arial"/>
    <w:panose1 w:val="00000000000000000000"/>
    <w:charset w:val="00"/>
    <w:family w:val="roman"/>
    <w:notTrueType/>
    <w:pitch w:val="default"/>
  </w:font>
  <w:font w:name="ＭＳ ゴシック">
    <w:panose1 w:val="00000000000000000000"/>
    <w:charset w:val="80"/>
    <w:family w:val="modern"/>
    <w:notTrueType/>
    <w:pitch w:val="fixed"/>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 w:name="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mo="http://schemas.microsoft.com/office/mac/office/2008/main" xmlns:mc="http://schemas.openxmlformats.org/markup-compatibility/2006" xmlns:mv="urn:schemas-microsoft-com:mac:vml" xmlns:a="http://schemas.openxmlformats.org/drawingml/2006/main" xmlns:a14="http://schemas.microsoft.com/office/drawing/2010/main" xmlns:WX="http://schemas.microsoft.com/office/word/2003/auxHint" xmlns:pic="http://schemas.openxmlformats.org/drawingml/2006/picture" xmlns:pkg="http://schemas.microsoft.com/office/2006/xmlPackage" xmlns:aml="http://schemas.microsoft.com/aml/2001/core" mc:Ignorable="w14 w15 w16se w16cid wp14">
  <w:footnote w:type="separator" w:id="-1">
    <w:p>
      <w:pPr>
        <w:spacing w:before="0" w:after="0" w:line="240" w:lineRule="auto"/>
      </w:pPr>
      <w:r>
        <w:separator/>
      </w:r>
    </w:p>
  </w:footnote>
  <w:footnote w:type="continuationSeparator" w:id="0">
    <w:p>
      <w:pPr>
        <w:spacing w:before="0"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abstractNum w:abstractNumId="0">
    <w:nsid w:val="099A08C1"/>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bullet"/>
      <w:lvlText w:val=""/>
      <w:lvlJc w:val="left"/>
      <w:pPr>
        <w:ind w:left="72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bullet"/>
      <w:lvlText w:val=""/>
      <w:lvlJc w:val="left"/>
      <w:pPr>
        <w:ind w:left="144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bullet"/>
      <w:lvlText w:val=""/>
      <w:lvlJc w:val="left"/>
      <w:pPr>
        <w:ind w:left="216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bullet"/>
      <w:lvlText w:val=""/>
      <w:lvlJc w:val="left"/>
      <w:pPr>
        <w:ind w:left="288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bullet"/>
      <w:lvlText w:val=""/>
      <w:lvlJc w:val="left"/>
      <w:pPr>
        <w:ind w:left="360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bullet"/>
      <w:lvlText w:val=""/>
      <w:lvlJc w:val="left"/>
      <w:pPr>
        <w:ind w:left="4320" w:hanging="360"/>
      </w:pPr>
      <w:rPr>
        <w:rFonts w:ascii="Symbol" w:hAnsi="Symbol" w:hint="default"/>
      </w:rPr>
    </w:lvl>
  </w:abstractNum>
  <w:abstractNum w:abstractNumId="1">
    <w:nsid w:val="099A08C2"/>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bullet"/>
      <w:lvlText w:val=""/>
      <w:lvlJc w:val="left"/>
      <w:pPr>
        <w:ind w:left="72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bullet"/>
      <w:lvlText w:val=""/>
      <w:lvlJc w:val="left"/>
      <w:pPr>
        <w:ind w:left="144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bullet"/>
      <w:lvlText w:val=""/>
      <w:lvlJc w:val="left"/>
      <w:pPr>
        <w:ind w:left="216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bullet"/>
      <w:lvlText w:val=""/>
      <w:lvlJc w:val="left"/>
      <w:pPr>
        <w:ind w:left="288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bullet"/>
      <w:lvlText w:val=""/>
      <w:lvlJc w:val="left"/>
      <w:pPr>
        <w:ind w:left="360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bullet"/>
      <w:lvlText w:val=""/>
      <w:lvlJc w:val="left"/>
      <w:pPr>
        <w:ind w:left="4320" w:hanging="360"/>
      </w:pPr>
      <w:rPr>
        <w:rFonts w:ascii="Symbol" w:hAnsi="Symbol" w:hint="default"/>
      </w:rPr>
    </w:lvl>
  </w:abstractNum>
  <w:abstractNum w:abstractNumId="2">
    <w:nsid w:val="099A08C3"/>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bullet"/>
      <w:lvlText w:val=""/>
      <w:lvlJc w:val="left"/>
      <w:pPr>
        <w:ind w:left="72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bullet"/>
      <w:lvlText w:val=""/>
      <w:lvlJc w:val="left"/>
      <w:pPr>
        <w:ind w:left="144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bullet"/>
      <w:lvlText w:val=""/>
      <w:lvlJc w:val="left"/>
      <w:pPr>
        <w:ind w:left="216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bullet"/>
      <w:lvlText w:val=""/>
      <w:lvlJc w:val="left"/>
      <w:pPr>
        <w:ind w:left="288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bullet"/>
      <w:lvlText w:val=""/>
      <w:lvlJc w:val="left"/>
      <w:pPr>
        <w:ind w:left="360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bullet"/>
      <w:lvlText w:val=""/>
      <w:lvlJc w:val="left"/>
      <w:pPr>
        <w:ind w:left="4320" w:hanging="360"/>
      </w:pPr>
      <w:rPr>
        <w:rFonts w:ascii="Symbol" w:hAnsi="Symbol" w:hint="default"/>
      </w:rPr>
    </w:lvl>
  </w:abstractNum>
  <w:abstractNum w:abstractNumId="3">
    <w:nsid w:val="099A08C4"/>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decimal"/>
      <w:lvlText w:val="%1."/>
      <w:lvlJc w:val="left"/>
      <w:pPr>
        <w:ind w:left="72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decimal"/>
      <w:lvlText w:val="%2."/>
      <w:lvlJc w:val="left"/>
      <w:pPr>
        <w:ind w:left="144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decimal"/>
      <w:lvlText w:val="%3."/>
      <w:lvlJc w:val="left"/>
      <w:pPr>
        <w:ind w:left="216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decimal"/>
      <w:lvlText w:val="%4."/>
      <w:lvlJc w:val="left"/>
      <w:pPr>
        <w:ind w:left="288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decimal"/>
      <w:lvlText w:val="%5."/>
      <w:lvlJc w:val="left"/>
      <w:pPr>
        <w:ind w:left="360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decimal"/>
      <w:lvlText w:val="%6."/>
      <w:lvlJc w:val="left"/>
      <w:pPr>
        <w:ind w:left="4320" w:hanging="360"/>
      </w:pPr>
    </w:lvl>
  </w:abstractNum>
  <w:abstractNum w:abstractNumId="4">
    <w:nsid w:val="099A08C5"/>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bullet"/>
      <w:lvlText w:val=""/>
      <w:lvlJc w:val="left"/>
      <w:pPr>
        <w:ind w:left="72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bullet"/>
      <w:lvlText w:val=""/>
      <w:lvlJc w:val="left"/>
      <w:pPr>
        <w:ind w:left="144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bullet"/>
      <w:lvlText w:val=""/>
      <w:lvlJc w:val="left"/>
      <w:pPr>
        <w:ind w:left="216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bullet"/>
      <w:lvlText w:val=""/>
      <w:lvlJc w:val="left"/>
      <w:pPr>
        <w:ind w:left="288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bullet"/>
      <w:lvlText w:val=""/>
      <w:lvlJc w:val="left"/>
      <w:pPr>
        <w:ind w:left="360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bullet"/>
      <w:lvlText w:val=""/>
      <w:lvlJc w:val="left"/>
      <w:pPr>
        <w:ind w:left="4320" w:hanging="360"/>
      </w:pPr>
      <w:rPr>
        <w:rFonts w:ascii="Symbol" w:hAnsi="Symbol" w:hint="default"/>
      </w:rPr>
    </w:lvl>
  </w:abstractNum>
  <w:abstractNum w:abstractNumId="5">
    <w:nsid w:val="099A08C6"/>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decimal"/>
      <w:lvlText w:val="%1."/>
      <w:lvlJc w:val="left"/>
      <w:pPr>
        <w:ind w:left="72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decimal"/>
      <w:lvlText w:val="%2."/>
      <w:lvlJc w:val="left"/>
      <w:pPr>
        <w:ind w:left="144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decimal"/>
      <w:lvlText w:val="%3."/>
      <w:lvlJc w:val="left"/>
      <w:pPr>
        <w:ind w:left="216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decimal"/>
      <w:lvlText w:val="%4."/>
      <w:lvlJc w:val="left"/>
      <w:pPr>
        <w:ind w:left="288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decimal"/>
      <w:lvlText w:val="%5."/>
      <w:lvlJc w:val="left"/>
      <w:pPr>
        <w:ind w:left="360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decimal"/>
      <w:lvlText w:val="%6."/>
      <w:lvlJc w:val="left"/>
      <w:pPr>
        <w:ind w:left="4320" w:hanging="360"/>
      </w:pPr>
    </w:lvl>
  </w:abstractNum>
  <w:abstractNum w:abstractNumId="6">
    <w:nsid w:val="099A08C7"/>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bullet"/>
      <w:lvlText w:val=""/>
      <w:lvlJc w:val="left"/>
      <w:pPr>
        <w:ind w:left="72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bullet"/>
      <w:lvlText w:val=""/>
      <w:lvlJc w:val="left"/>
      <w:pPr>
        <w:ind w:left="144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bullet"/>
      <w:lvlText w:val=""/>
      <w:lvlJc w:val="left"/>
      <w:pPr>
        <w:ind w:left="216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bullet"/>
      <w:lvlText w:val=""/>
      <w:lvlJc w:val="left"/>
      <w:pPr>
        <w:ind w:left="288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bullet"/>
      <w:lvlText w:val=""/>
      <w:lvlJc w:val="left"/>
      <w:pPr>
        <w:ind w:left="360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bullet"/>
      <w:lvlText w:val=""/>
      <w:lvlJc w:val="left"/>
      <w:pPr>
        <w:ind w:left="4320" w:hanging="360"/>
      </w:pPr>
      <w:rPr>
        <w:rFonts w:ascii="Symbol" w:hAnsi="Symbol" w:hint="default"/>
      </w:rPr>
    </w:lvl>
  </w:abstractNum>
  <w:abstractNum w:abstractNumId="7">
    <w:nsid w:val="099A08C8"/>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bullet"/>
      <w:lvlText w:val=""/>
      <w:lvlJc w:val="left"/>
      <w:pPr>
        <w:ind w:left="72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bullet"/>
      <w:lvlText w:val=""/>
      <w:lvlJc w:val="left"/>
      <w:pPr>
        <w:ind w:left="144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bullet"/>
      <w:lvlText w:val=""/>
      <w:lvlJc w:val="left"/>
      <w:pPr>
        <w:ind w:left="216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bullet"/>
      <w:lvlText w:val=""/>
      <w:lvlJc w:val="left"/>
      <w:pPr>
        <w:ind w:left="288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bullet"/>
      <w:lvlText w:val=""/>
      <w:lvlJc w:val="left"/>
      <w:pPr>
        <w:ind w:left="360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bullet"/>
      <w:lvlText w:val=""/>
      <w:lvlJc w:val="left"/>
      <w:pPr>
        <w:ind w:left="4320" w:hanging="360"/>
      </w:pPr>
      <w:rPr>
        <w:rFonts w:ascii="Symbol" w:hAnsi="Symbol" w:hint="default"/>
      </w:rPr>
    </w:lvl>
  </w:abstractNum>
  <w:abstractNum w:abstractNumId="8">
    <w:nsid w:val="099A08C9"/>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decimal"/>
      <w:lvlText w:val="%1."/>
      <w:lvlJc w:val="left"/>
      <w:pPr>
        <w:ind w:left="72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decimal"/>
      <w:lvlText w:val="%2."/>
      <w:lvlJc w:val="left"/>
      <w:pPr>
        <w:ind w:left="144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decimal"/>
      <w:lvlText w:val="%3."/>
      <w:lvlJc w:val="left"/>
      <w:pPr>
        <w:ind w:left="216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decimal"/>
      <w:lvlText w:val="%4."/>
      <w:lvlJc w:val="left"/>
      <w:pPr>
        <w:ind w:left="288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decimal"/>
      <w:lvlText w:val="%5."/>
      <w:lvlJc w:val="left"/>
      <w:pPr>
        <w:ind w:left="360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decimal"/>
      <w:lvlText w:val="%6."/>
      <w:lvlJc w:val="left"/>
      <w:pPr>
        <w:ind w:left="4320" w:hanging="360"/>
      </w:pPr>
    </w:lvl>
  </w:abstractNum>
  <w:abstractNum w:abstractNumId="9">
    <w:nsid w:val="099A08C10"/>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bullet"/>
      <w:lvlText w:val=""/>
      <w:lvlJc w:val="left"/>
      <w:pPr>
        <w:ind w:left="72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bullet"/>
      <w:lvlText w:val=""/>
      <w:lvlJc w:val="left"/>
      <w:pPr>
        <w:ind w:left="144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bullet"/>
      <w:lvlText w:val=""/>
      <w:lvlJc w:val="left"/>
      <w:pPr>
        <w:ind w:left="216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bullet"/>
      <w:lvlText w:val=""/>
      <w:lvlJc w:val="left"/>
      <w:pPr>
        <w:ind w:left="288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bullet"/>
      <w:lvlText w:val=""/>
      <w:lvlJc w:val="left"/>
      <w:pPr>
        <w:ind w:left="360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bullet"/>
      <w:lvlText w:val=""/>
      <w:lvlJc w:val="left"/>
      <w:pPr>
        <w:ind w:left="4320" w:hanging="360"/>
      </w:pPr>
      <w:rPr>
        <w:rFonts w:ascii="Symbol" w:hAnsi="Symbol" w:hint="default"/>
      </w:rPr>
    </w:lvl>
  </w:abstractNum>
  <w:abstractNum w:abstractNumId="10">
    <w:nsid w:val="099A08C11"/>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bullet"/>
      <w:lvlText w:val=""/>
      <w:lvlJc w:val="left"/>
      <w:pPr>
        <w:ind w:left="72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bullet"/>
      <w:lvlText w:val=""/>
      <w:lvlJc w:val="left"/>
      <w:pPr>
        <w:ind w:left="144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bullet"/>
      <w:lvlText w:val=""/>
      <w:lvlJc w:val="left"/>
      <w:pPr>
        <w:ind w:left="216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bullet"/>
      <w:lvlText w:val=""/>
      <w:lvlJc w:val="left"/>
      <w:pPr>
        <w:ind w:left="288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bullet"/>
      <w:lvlText w:val=""/>
      <w:lvlJc w:val="left"/>
      <w:pPr>
        <w:ind w:left="360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bullet"/>
      <w:lvlText w:val=""/>
      <w:lvlJc w:val="left"/>
      <w:pPr>
        <w:ind w:left="4320" w:hanging="360"/>
      </w:pPr>
      <w:rPr>
        <w:rFonts w:ascii="Symbol" w:hAnsi="Symbol" w:hint="default"/>
      </w:rPr>
    </w:lvl>
  </w:abstractNum>
  <w:abstractNum w:abstractNumId="11">
    <w:nsid w:val="099A08C12"/>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bullet"/>
      <w:lvlText w:val=""/>
      <w:lvlJc w:val="left"/>
      <w:pPr>
        <w:ind w:left="72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bullet"/>
      <w:lvlText w:val=""/>
      <w:lvlJc w:val="left"/>
      <w:pPr>
        <w:ind w:left="144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bullet"/>
      <w:lvlText w:val=""/>
      <w:lvlJc w:val="left"/>
      <w:pPr>
        <w:ind w:left="216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bullet"/>
      <w:lvlText w:val=""/>
      <w:lvlJc w:val="left"/>
      <w:pPr>
        <w:ind w:left="288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bullet"/>
      <w:lvlText w:val=""/>
      <w:lvlJc w:val="left"/>
      <w:pPr>
        <w:ind w:left="360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bullet"/>
      <w:lvlText w:val=""/>
      <w:lvlJc w:val="left"/>
      <w:pPr>
        <w:ind w:left="4320" w:hanging="360"/>
      </w:pPr>
      <w:rPr>
        <w:rFonts w:ascii="Symbol" w:hAnsi="Symbol" w:hint="default"/>
      </w:rPr>
    </w:lvl>
  </w:abstractNum>
  <w:abstractNum w:abstractNumId="12">
    <w:nsid w:val="099A08C13"/>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bullet"/>
      <w:lvlText w:val=""/>
      <w:lvlJc w:val="left"/>
      <w:pPr>
        <w:ind w:left="72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bullet"/>
      <w:lvlText w:val=""/>
      <w:lvlJc w:val="left"/>
      <w:pPr>
        <w:ind w:left="144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bullet"/>
      <w:lvlText w:val=""/>
      <w:lvlJc w:val="left"/>
      <w:pPr>
        <w:ind w:left="216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bullet"/>
      <w:lvlText w:val=""/>
      <w:lvlJc w:val="left"/>
      <w:pPr>
        <w:ind w:left="288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bullet"/>
      <w:lvlText w:val=""/>
      <w:lvlJc w:val="left"/>
      <w:pPr>
        <w:ind w:left="360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bullet"/>
      <w:lvlText w:val=""/>
      <w:lvlJc w:val="left"/>
      <w:pPr>
        <w:ind w:left="4320" w:hanging="360"/>
      </w:pPr>
      <w:rPr>
        <w:rFonts w:ascii="Symbol" w:hAnsi="Symbol"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ne"/>
  <w:zoom w:percent="100"/>
  <w:proofState w:spelling="dirty" w:grammar="dirty"/>
  <w:defaultTabStop w:val="720"/>
  <w:noPunctuationKerning/>
  <w:characterSpacingControl w:val="doNotCompress"/>
  <w:savePreviewPicture/>
  <w:compat>
    <w:doNotBreakWrappedTables/>
    <w:doNotSnapToGridInCell/>
    <w:doNotWrapTextWithPunct/>
    <w:doNotUseEastAsianBreakRules/>
    <w:growAutofit/>
    <w:compatSetting w:name="compatibilityMode" w:uri="http://schemas.microsoft.com/office/word" w:val="15"/>
  </w:compat>
  <w:rsids>
    <w:rsidRoot w:val="006E5FB8"/>
    <w:rsid w:val="006E5F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lang w:val="en-US" w:eastAsia="en-US" w:bidi="ar-SA"/>
        <w:sz w:val="20"/>
        <w:szCs w:val="20"/>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Default Paragraph Font" w:uiPriority="1"/>
    <w:lsdException w:name="Strong" w:semiHidden="0" w:uiPriority="22" w:unhideWhenUsed="0" w:qFormat="1"/>
    <w:lsdException w:name="Emphasis" w:semiHidden="0" w:uiPriority="20" w:unhideWhenUsed="0" w:qFormat="1"/>
    <w:lsdException w:name="Code" w:semiHidden="0" w:uiPriority="24" w:unhideWhenUsed="0" w:qFormat="1"/>
    <w:lsdException w:name="List Paragraph" w:semiHidden="0" w:uiPriority="34" w:unhideWhenUsed="0" w:qFormat="1"/>
    <w:lsdException w:name="Quote" w:semiHidden="0" w:uiPriority="29" w:unhideWhenUsed="0" w:qFormat="1"/>
  </w:latentStyles>
  <w:style w:type="paragraph" w:default="1" w:styleId="Normal">
    <w:name w:val="Normal"/>
    <w:qFormat/>
    <w:pPr>
      <w:spacing w:line="336" w:before="300" w:after="300"/>
    </w:pPr>
  </w:style>
  <w:style w:type="table" w:default="1" w:styleId="TableNormal">
    <w:name w:val="Normal Table"/>
  </w:style>
  <w:style w:type="paragraph" w:styleId="Heading1">
    <w:name w:val="Heading 1"/>
    <w:basedOn w:val="Normal"/>
    <w:next w:val="Normal"/>
    <w:link w:val="Heading1Char"/>
    <w:uiPriority w:val="9"/>
    <w:qFormat/>
    <w:pPr>
      <w:spacing w:before="540" w:after="180"/>
      <w:outlineLvl w:val="0"/>
    </w:pPr>
    <w:rPr>
      <w:rFonts w:asciiTheme="majorHAnsi" w:eastAsiaTheme="majorEastAsia" w:hAnsiTheme="majorHAnsi" w:cstheme="majorBidi"/>
      <w:b/>
      <w:bCs/>
      <w:kern w:val="36"/>
      <w:sz w:val="36"/>
      <w:szCs w:val="36"/>
    </w:rPr>
  </w:style>
  <w:style w:type="paragraph" w:styleId="Heading2">
    <w:name w:val="Heading 2"/>
    <w:basedOn w:val="Normal"/>
    <w:next w:val="Normal"/>
    <w:link w:val="Heading2Char"/>
    <w:uiPriority w:val="9"/>
    <w:qFormat/>
    <w:pPr>
      <w:spacing w:before="480" w:after="160"/>
      <w:outlineLvl w:val="1"/>
    </w:pPr>
    <w:rPr>
      <w:rFonts w:asciiTheme="majorHAnsi" w:eastAsiaTheme="majorEastAsia" w:hAnsiTheme="majorHAnsi" w:cstheme="majorBidi"/>
      <w:b/>
      <w:bCs/>
      <w:sz w:val="32"/>
      <w:szCs w:val="32"/>
    </w:rPr>
  </w:style>
  <w:style w:type="paragraph" w:styleId="Heading3">
    <w:name w:val="Heading 3"/>
    <w:basedOn w:val="Normal"/>
    <w:next w:val="Normal"/>
    <w:link w:val="Heading3Char"/>
    <w:uiPriority w:val="9"/>
    <w:qFormat/>
    <w:pPr>
      <w:spacing w:before="390" w:after="13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unhideWhenUsed/>
    <w:qFormat/>
    <w:pPr>
      <w:keepNext/>
      <w:keepLines/>
      <w:spacing w:before="300" w:after="100"/>
      <w:outlineLvl w:val="3"/>
    </w:pPr>
    <w:rPr>
      <w:rFonts w:asciiTheme="majorHAnsi" w:eastAsiaTheme="majorEastAsia" w:hAnsiTheme="majorHAnsi" w:cstheme="majorBidi"/>
      <w:b/>
      <w:bCs/>
    </w:rPr>
  </w:style>
  <w:style w:type="paragraph" w:styleId="Heading5">
    <w:name w:val="Heading 5"/>
    <w:basedOn w:val="Normal"/>
    <w:next w:val="Normal"/>
    <w:link w:val="Heading5Char"/>
    <w:uiPriority w:val="9"/>
    <w:unhideWhenUsed/>
    <w:qFormat/>
    <w:rsid w:val="006E5FB8"/>
    <w:pPr>
      <w:keepNext/>
      <w:keepLines/>
      <w:spacing w:before="300" w:after="100"/>
      <w:outlineLvl w:val="4"/>
    </w:pPr>
    <w:rPr>
      <w:rFonts w:asciiTheme="majorHAnsi" w:eastAsiaTheme="majorEastAsia" w:hAnsiTheme="majorHAnsi" w:cstheme="majorBidi"/>
      <w:i/>
      <w:iCs/>
    </w:rPr>
  </w:style>
  <w:style w:type="paragraph" w:styleId="Heading6">
    <w:name w:val="Heading 6"/>
    <w:basedOn w:val="Normal"/>
    <w:next w:val="Normal"/>
    <w:link w:val="Heading6Char"/>
    <w:uiPriority w:val="9"/>
    <w:unhideWhenUsed/>
    <w:qFormat/>
    <w:rsid w:val="006E5FB8"/>
    <w:pPr>
      <w:keepNext/>
      <w:keepLines/>
      <w:spacing w:before="300" w:after="100"/>
      <w:outlineLvl w:val="5"/>
    </w:pPr>
    <w:rPr>
      <w:rFonts w:asciiTheme="majorHAnsi" w:eastAsiaTheme="majorEastAsia" w:hAnsiTheme="majorHAnsi" w:cstheme="majorBidi"/>
    </w:rPr>
  </w:style>
  <w:style w:type="paragraph" w:styleId="Quote">
    <w:name w:val="Quote"/>
    <w:basedOn w:val="Normal"/>
    <w:next w:val="Normal"/>
    <w:uiPriority w:val="10"/>
    <w:qFormat/>
    <w:pPr>
      <!-- increased from 600 to match list indentation -->
      <w:ind w:left="720"/>
    </w:pPr>
  </w:style>
  <w:style w:type="character" w:default="1" w:styleId="DefaultParagraphFont">
    <w:name w:val="Default Paragraph Font"/>
    <w:uiPriority w:val="1"/>
    <w:semiHidden/>
    <w:unhideWhenUsed/>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000000" w:themeColor="accent1" w:themeShade="B5"/>
      <w:sz w:val="36"/>
      <w:szCs w:val="36"/>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color w:val="000000" w:themeColor="accent1"/>
      <w:sz w:val="32"/>
      <w:szCs w:val="32"/>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b/>
      <w:bCs/>
      <w:color w:val="000000" w:themeColor="accent1"/>
    </w:rPr>
  </w:style>
  <w:style w:type="character" w:customStyle="1" w:styleId="Heading4Char">
    <w:name w:val="Heading 4 Char"/>
    <w:basedOn w:val="DefaultParagraphFont"/>
    <w:link w:val="Heading4"/>
    <w:uiPriority w:val="9"/>
    <w:rsid w:val="006E5FB8"/>
    <w:rPr>
      <w:rFonts w:asciiTheme="majorHAnsi" w:eastAsiaTheme="majorEastAsia" w:hAnsiTheme="majorHAnsi" w:cstheme="majorBidi"/>
      <w:b/>
      <w:bCs/>
    </w:rPr>
  </w:style>
  <w:style w:type="character" w:customStyle="1" w:styleId="Heading5Char">
    <w:name w:val="Heading 5 Char"/>
    <w:basedOn w:val="DefaultParagraphFont"/>
    <w:link w:val="Heading5"/>
    <w:uiPriority w:val="9"/>
    <w:rsid w:val="006E5FB8"/>
    <w:rPr>
      <w:rFonts w:asciiTheme="majorHAnsi" w:eastAsiaTheme="majorEastAsia" w:hAnsiTheme="majorHAnsi" w:cstheme="majorBidi"/>
      <w:i/>
      <w:iCs/>
    </w:rPr>
  </w:style>
  <w:style w:type="character" w:customStyle="1" w:styleId="Heading6Char">
    <w:name w:val="Heading 6 Char"/>
    <w:basedOn w:val="DefaultParagraphFont"/>
    <w:link w:val="Heading6"/>
    <w:uiPriority w:val="9"/>
    <w:rsid w:val="006E5FB8"/>
    <w:rPr>
      <w:rFonts w:asciiTheme="majorHAnsi" w:eastAsiaTheme="majorEastAsia" w:hAnsiTheme="majorHAnsi" w:cstheme="majorBidi"/>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Code">
    <w:name w:val="Code"/>
    <w:basedOn w:val="DefaultParagraphFont"/>
    <w:uiPriority w:val="24"/>
    <w:qFormat/>
    <w:rPr>
      <w:rFonts w:ascii="Consolas" w:hAnsi="Consolas" w:cs="Consolas"/>
    </w:rPr>
  </w:style>
  <w:style w:type="character" w:customStyle="1" w:styleId="FootnoteTextChar">
    <w:name w:val="Footnote Text Char"/>
    <w:basedOn w:val="DefaultParagraphFont"/>
    <w:link w:val="FootnoteText"/>
    <w:uiPriority w:val="99"/>
    <w:semiHidden/>
  </w:style>
  <w:style w:type="character" w:styleId="FootnoteReference">
    <w:name w:val="footnote reference"/>
    <w:basedOn w:val="DefaultParagraphFont"/>
    <w:uiPriority w:val="99"/>
    <w:semiHidden/>
    <w:unhideWhenUsed/>
    <w:rPr>
      <w:vertAlign w:val="superscript"/>
    </w:rPr>
  </w:style>
  <w:style w:type="paragraph" w:styleId="Caption">
    <w:name w:val="caption"/>
    <w:basedOn w:val="Normal"/>
    <w:next w:val="Normal"/>
    <w:uiPriority w:val="35"/>
    <w:unhideWhenUsed/>
    <w:qFormat/>
    <w:pPr>
      <w:spacing w:after="200"/>
    </w:pPr>
    <w:rPr>
      <w:i/>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lang w:val="en-US" w:eastAsia="en-US" w:bidi="ar-SA"/>
        <w:sz w:val="20"/>
        <w:szCs w:val="20"/>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Default Paragraph Font" w:uiPriority="1"/>
    <w:lsdException w:name="Strong" w:semiHidden="0" w:uiPriority="22" w:unhideWhenUsed="0" w:qFormat="1"/>
    <w:lsdException w:name="Emphasis" w:semiHidden="0" w:uiPriority="20" w:unhideWhenUsed="0" w:qFormat="1"/>
    <w:lsdException w:name="Code" w:semiHidden="0" w:uiPriority="24" w:unhideWhenUsed="0" w:qFormat="1"/>
    <w:lsdException w:name="List Paragraph" w:semiHidden="0" w:uiPriority="34" w:unhideWhenUsed="0" w:qFormat="1"/>
    <w:lsdException w:name="Quote" w:semiHidden="0" w:uiPriority="29" w:unhideWhenUsed="0" w:qFormat="1"/>
  </w:latentStyles>
  <w:style w:type="paragraph" w:default="1" w:styleId="Normal">
    <w:name w:val="Normal"/>
    <w:qFormat/>
    <w:pPr>
      <w:spacing w:line="336" w:before="300" w:after="300"/>
    </w:pPr>
  </w:style>
  <w:style w:type="paragraph" w:styleId="Heading1">
    <w:name w:val="Heading 1"/>
    <w:basedOn w:val="Normal"/>
    <w:next w:val="Normal"/>
    <w:link w:val="Heading1Char"/>
    <w:uiPriority w:val="9"/>
    <w:qFormat/>
    <w:pPr>
      <w:spacing w:before="540" w:after="180"/>
      <w:outlineLvl w:val="0"/>
    </w:pPr>
    <w:rPr>
      <w:rFonts w:asciiTheme="majorHAnsi" w:eastAsiaTheme="majorEastAsia" w:hAnsiTheme="majorHAnsi" w:cstheme="majorBidi"/>
      <w:b/>
      <w:bCs/>
      <w:kern w:val="36"/>
      <w:sz w:val="36"/>
      <w:szCs w:val="36"/>
    </w:rPr>
  </w:style>
  <w:style w:type="paragraph" w:styleId="Heading2">
    <w:name w:val="Heading 2"/>
    <w:basedOn w:val="Normal"/>
    <w:next w:val="Normal"/>
    <w:link w:val="Heading2Char"/>
    <w:uiPriority w:val="9"/>
    <w:qFormat/>
    <w:pPr>
      <w:spacing w:before="480" w:after="160"/>
      <w:outlineLvl w:val="1"/>
    </w:pPr>
    <w:rPr>
      <w:rFonts w:asciiTheme="majorHAnsi" w:eastAsiaTheme="majorEastAsia" w:hAnsiTheme="majorHAnsi" w:cstheme="majorBidi"/>
      <w:b/>
      <w:bCs/>
      <w:sz w:val="32"/>
      <w:szCs w:val="32"/>
    </w:rPr>
  </w:style>
  <w:style w:type="paragraph" w:styleId="Heading3">
    <w:name w:val="Heading 3"/>
    <w:basedOn w:val="Normal"/>
    <w:next w:val="Normal"/>
    <w:link w:val="Heading3Char"/>
    <w:uiPriority w:val="9"/>
    <w:qFormat/>
    <w:pPr>
      <w:spacing w:before="390" w:after="13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unhideWhenUsed/>
    <w:qFormat/>
    <w:pPr>
      <w:keepNext/>
      <w:keepLines/>
      <w:spacing w:before="300" w:after="100"/>
      <w:outlineLvl w:val="3"/>
    </w:pPr>
    <w:rPr>
      <w:rFonts w:asciiTheme="majorHAnsi" w:eastAsiaTheme="majorEastAsia" w:hAnsiTheme="majorHAnsi" w:cstheme="majorBidi"/>
      <w:b/>
      <w:bCs/>
    </w:rPr>
  </w:style>
  <w:style w:type="paragraph" w:styleId="Heading5">
    <w:name w:val="Heading 5"/>
    <w:basedOn w:val="Normal"/>
    <w:next w:val="Normal"/>
    <w:link w:val="Heading5Char"/>
    <w:uiPriority w:val="9"/>
    <w:unhideWhenUsed/>
    <w:qFormat/>
    <w:rsid w:val="006E5FB8"/>
    <w:pPr>
      <w:keepNext/>
      <w:keepLines/>
      <w:spacing w:before="300" w:after="100"/>
      <w:outlineLvl w:val="4"/>
    </w:pPr>
    <w:rPr>
      <w:rFonts w:asciiTheme="majorHAnsi" w:eastAsiaTheme="majorEastAsia" w:hAnsiTheme="majorHAnsi" w:cstheme="majorBidi"/>
      <w:i/>
      <w:iCs/>
    </w:rPr>
  </w:style>
  <w:style w:type="paragraph" w:styleId="Heading6">
    <w:name w:val="Heading 6"/>
    <w:basedOn w:val="Normal"/>
    <w:next w:val="Normal"/>
    <w:link w:val="Heading6Char"/>
    <w:uiPriority w:val="9"/>
    <w:unhideWhenUsed/>
    <w:qFormat/>
    <w:rsid w:val="006E5FB8"/>
    <w:pPr>
      <w:keepNext/>
      <w:keepLines/>
      <w:spacing w:before="300" w:after="100"/>
      <w:outlineLvl w:val="5"/>
    </w:pPr>
    <w:rPr>
      <w:rFonts w:asciiTheme="majorHAnsi" w:eastAsiaTheme="majorEastAsia" w:hAnsiTheme="majorHAnsi" w:cstheme="majorBidi"/>
    </w:rPr>
  </w:style>
  <w:style w:type="paragraph" w:styleId="Quote">
    <w:name w:val="Quote"/>
    <w:basedOn w:val="Normal"/>
    <w:next w:val="Normal"/>
    <w:uiPriority w:val="10"/>
    <w:qFormat/>
    <w:pPr>
      <!-- increased from 600 to match list indentation -->
      <w:ind w:left="720"/>
    </w:pPr>
  </w:style>
  <w:style w:type="character" w:default="1" w:styleId="DefaultParagraphFont">
    <w:name w:val="Default Paragraph Font"/>
    <w:uiPriority w:val="1"/>
    <w:semiHidden/>
    <w:unhideWhenUsed/>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000000" w:themeColor="accent1" w:themeShade="B5"/>
      <w:sz w:val="36"/>
      <w:szCs w:val="36"/>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color w:val="000000" w:themeColor="accent1"/>
      <w:sz w:val="32"/>
      <w:szCs w:val="32"/>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b/>
      <w:bCs/>
      <w:color w:val="000000" w:themeColor="accent1"/>
    </w:rPr>
  </w:style>
  <w:style w:type="character" w:customStyle="1" w:styleId="Heading4Char">
    <w:name w:val="Heading 4 Char"/>
    <w:basedOn w:val="DefaultParagraphFont"/>
    <w:link w:val="Heading4"/>
    <w:uiPriority w:val="9"/>
    <w:rsid w:val="006E5FB8"/>
    <w:rPr>
      <w:rFonts w:asciiTheme="majorHAnsi" w:eastAsiaTheme="majorEastAsia" w:hAnsiTheme="majorHAnsi" w:cstheme="majorBidi"/>
      <w:b/>
      <w:bCs/>
    </w:rPr>
  </w:style>
  <w:style w:type="character" w:customStyle="1" w:styleId="Heading5Char">
    <w:name w:val="Heading 5 Char"/>
    <w:basedOn w:val="DefaultParagraphFont"/>
    <w:link w:val="Heading5"/>
    <w:uiPriority w:val="9"/>
    <w:rsid w:val="006E5FB8"/>
    <w:rPr>
      <w:rFonts w:asciiTheme="majorHAnsi" w:eastAsiaTheme="majorEastAsia" w:hAnsiTheme="majorHAnsi" w:cstheme="majorBidi"/>
      <w:i/>
      <w:iCs/>
    </w:rPr>
  </w:style>
  <w:style w:type="character" w:customStyle="1" w:styleId="Heading6Char">
    <w:name w:val="Heading 6 Char"/>
    <w:basedOn w:val="DefaultParagraphFont"/>
    <w:link w:val="Heading6"/>
    <w:uiPriority w:val="9"/>
    <w:rsid w:val="006E5FB8"/>
    <w:rPr>
      <w:rFonts w:asciiTheme="majorHAnsi" w:eastAsiaTheme="majorEastAsia" w:hAnsiTheme="majorHAnsi" w:cstheme="majorBidi"/>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Code">
    <w:name w:val="Code"/>
    <w:basedOn w:val="DefaultParagraphFont"/>
    <w:uiPriority w:val="24"/>
    <w:qFormat/>
    <w:rPr>
      <w:rFonts w:ascii="Consolas" w:hAnsi="Consolas" w:cs="Consolas"/>
    </w:rPr>
  </w:style>
  <!-- Todo: add paragraph styles for Code (monospace font, respect whitespace) -->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3469600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685374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1951873">
      <w:blockQuote w:val="1"/>
      <w:marLeft w:val="720"/>
      <w:marRight w:val="720"/>
      <w:marTop w:val="100"/>
      <w:marBottom w:val="100"/>
      <w:divBdr>
        <w:top w:val="none" w:sz="0" w:space="0" w:color="auto"/>
        <w:left w:val="none" w:sz="0" w:space="0" w:color="auto"/>
        <w:bottom w:val="none" w:sz="0" w:space="0" w:color="auto"/>
        <w:right w:val="none" w:sz="0" w:space="0" w:color="auto"/>
      </w:divBdr>
    </w:div>
  </w:divs>
  <w:encoding w:val="unicode"/>
  <w:optimizeForBrowser/>
  <w:allowPNG/>
  <w:doNotSaveAsSingleFile/>
</w:webSettings>
</file>

<file path=word/_rels/document.xml.rels><?xml version="1.0" encoding="UTF-8" standalone="yes"?>
<Relationships xmlns="http://schemas.openxmlformats.org/package/2006/relationship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mo="http://schemas.microsoft.com/office/mac/office/2008/main" xmlns:mc="http://schemas.openxmlformats.org/markup-compatibility/2006" xmlns:mv="urn:schemas-microsoft-com:mac:vml" xmlns:a="http://schemas.openxmlformats.org/drawingml/2006/main" xmlns:a14="http://schemas.microsoft.com/office/drawing/2010/main" xmlns:WX="http://schemas.microsoft.com/office/word/2003/auxHint" xmlns:pic="http://schemas.openxmlformats.org/drawingml/2006/picture" xmlns:pkg="http://schemas.microsoft.com/office/2006/xmlPackage" xmlns:aml="http://schemas.microsoft.com/aml/2001/core" mc:Ignorable="w14 w15 w16se w16cid wp14">
  <Relationship Id="rId3" Type="http://schemas.microsoft.com/office/2007/relationships/stylesWithEffects" Target="stylesWithEffects.xml"/>
  <Relationship Id="rId4" Type="http://schemas.openxmlformats.org/officeDocument/2006/relationships/settings" Target="settings.xml"/>
  <Relationship Id="rId5" Type="http://schemas.openxmlformats.org/officeDocument/2006/relationships/webSettings" Target="webSettings.xml"/>
  <Relationship Id="rId6" Type="http://schemas.openxmlformats.org/officeDocument/2006/relationships/fontTable" Target="fontTable.xml"/>
  <Relationship Id="rId7" Type="http://schemas.openxmlformats.org/officeDocument/2006/relationships/theme" Target="theme/theme1.xml"/>
  <Relationship Id="rId1" Type="http://schemas.openxmlformats.org/officeDocument/2006/relationships/numbering" Target="numbering.xml"/>
  <Relationship Id="rId2" Type="http://schemas.openxmlformats.org/officeDocument/2006/relationships/styles" Target="styles.xml"/>
  <Relationship Id="rId8" Type="http://schemas.openxmlformats.org/officeDocument/2006/relationships/footnotes" Target="footnotes.xml"/>
  <Relationship Id="rId9" Type="http://schemas.openxmlformats.org/officeDocument/2006/relationships/endnotes" Target="endnotes.xml"/>
</Relationships>

</file>

<file path=word/_rels/endnotes.xml.rels><?xml version="1.0" encoding="UTF-8" standalone="yes"?>
<Relationships xmlns="http://schemas.openxmlformats.org/package/2006/relationship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mo="http://schemas.microsoft.com/office/mac/office/2008/main" xmlns:mc="http://schemas.openxmlformats.org/markup-compatibility/2006" xmlns:mv="urn:schemas-microsoft-com:mac:vml" xmlns:a="http://schemas.openxmlformats.org/drawingml/2006/main" xmlns:a14="http://schemas.microsoft.com/office/drawing/2010/main" xmlns:WX="http://schemas.microsoft.com/office/word/2003/auxHint" xmlns:pic="http://schemas.openxmlformats.org/drawingml/2006/picture" xmlns:pkg="http://schemas.microsoft.com/office/2006/xmlPackage" xmlns:aml="http://schemas.microsoft.com/aml/2001/core" mc:Ignorable="w14 w15 w16se w16cid wp14">
  <Relationship Id="rId3" Type="http://schemas.microsoft.com/office/2007/relationships/stylesWithEffects" Target="stylesWithEffects.xml"/>
  <Relationship Id="rId4" Type="http://schemas.openxmlformats.org/officeDocument/2006/relationships/settings" Target="settings.xml"/>
  <Relationship Id="rId5" Type="http://schemas.openxmlformats.org/officeDocument/2006/relationships/webSettings" Target="webSettings.xml"/>
  <Relationship Id="rId6" Type="http://schemas.openxmlformats.org/officeDocument/2006/relationships/fontTable" Target="fontTable.xml"/>
  <Relationship Id="rId7" Type="http://schemas.openxmlformats.org/officeDocument/2006/relationships/theme" Target="theme/theme1.xml"/>
  <Relationship Id="rId1" Type="http://schemas.openxmlformats.org/officeDocument/2006/relationships/numbering" Target="numbering.xml"/>
  <Relationship Id="rId2" Type="http://schemas.openxmlformats.org/officeDocument/2006/relationships/styles" Target="styles.xml"/>
  <Relationship Id="rId8" Type="http://schemas.openxmlformats.org/officeDocument/2006/relationships/footnotes" Target="footnotes.xml"/>
  <Relationship Id="rId9" Type="http://schemas.openxmlformats.org/officeDocument/2006/relationships/endnotes" Target="endnotes.xml"/>
</Relationships>

</file>

<file path=word/_rels/footnotes.xml.rels><?xml version="1.0" encoding="UTF-8" standalone="yes"?>
<Relationships xmlns="http://schemas.openxmlformats.org/package/2006/relationship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mo="http://schemas.microsoft.com/office/mac/office/2008/main" xmlns:mc="http://schemas.openxmlformats.org/markup-compatibility/2006" xmlns:mv="urn:schemas-microsoft-com:mac:vml" xmlns:a="http://schemas.openxmlformats.org/drawingml/2006/main" xmlns:a14="http://schemas.microsoft.com/office/drawing/2010/main" xmlns:WX="http://schemas.microsoft.com/office/word/2003/auxHint" xmlns:pic="http://schemas.openxmlformats.org/drawingml/2006/picture" xmlns:pkg="http://schemas.microsoft.com/office/2006/xmlPackage" xmlns:aml="http://schemas.microsoft.com/aml/2001/core" mc:Ignorable="w14 w15 w16se w16cid wp14">
  <Relationship Id="rId3" Type="http://schemas.microsoft.com/office/2007/relationships/stylesWithEffects" Target="stylesWithEffects.xml"/>
  <Relationship Id="rId4" Type="http://schemas.openxmlformats.org/officeDocument/2006/relationships/settings" Target="settings.xml"/>
  <Relationship Id="rId5" Type="http://schemas.openxmlformats.org/officeDocument/2006/relationships/webSettings" Target="webSettings.xml"/>
  <Relationship Id="rId6" Type="http://schemas.openxmlformats.org/officeDocument/2006/relationships/fontTable" Target="fontTable.xml"/>
  <Relationship Id="rId7" Type="http://schemas.openxmlformats.org/officeDocument/2006/relationships/theme" Target="theme/theme1.xml"/>
  <Relationship Id="rId1" Type="http://schemas.openxmlformats.org/officeDocument/2006/relationships/numbering" Target="numbering.xml"/>
  <Relationship Id="rId2" Type="http://schemas.openxmlformats.org/officeDocument/2006/relationships/styles" Target="styles.xml"/>
  <Relationship Id="rId8" Type="http://schemas.openxmlformats.org/officeDocument/2006/relationships/footnotes" Target="footnotes.xml"/>
  <Relationship Id="rId9" Type="http://schemas.openxmlformats.org/officeDocument/2006/relationships/endnotes" Target="endnot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Application>iA Writer</Application>
  <AppVersion>1.0</AppVersion>
  <Template>Normal.dotm</Template>
  <ScaleCrop>false</ScaleCrop>
  <Company/>
  <LinksUpToDate>false</LinksUpToDate>
  <HyperlinksChanged>false</HyperlinksChanged>
  <SharedDoc>false</SharedDoc>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oreProperties>
</file>

<file path=docProps/meta.xml><?xml version="1.0" encoding="utf-8"?>
<meta xmlns="http://schemas.apple.com/cocoa/2006/metadata">
  <generator>CocoaOOXMLWriter/1187.37</generator>
</meta>
</file>