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IT Operations Specialist  |  Platform audit, configuration &amp; documentation  |  Healthcare-aware</w:t>
      </w:r>
    </w:p>
    <w:p>
      <w:pPr>
        <w:spacing w:after="20"/>
        <w:jc w:val="left"/>
      </w:pPr>
      <w:r>
        <w:rPr>
          <w:rFonts w:ascii="Calibri" w:hAnsi="Calibri"/>
          <w:color w:val="64748B"/>
          <w:sz w:val="16"/>
        </w:rPr>
        <w:t>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2685"/>
        <w:gridCol w:w="2685"/>
        <w:gridCol w:w="2685"/>
        <w:gridCol w:w="2685"/>
      </w:tblGrid>
      <w:tr>
        <w:tc>
          <w:tcPr>
            <w:tcW w:type="dxa" w:w="2685"/>
            <w:shd w:val="clear" w:color="auto" w:fill="F6EFE6"/>
          </w:tcPr>
          <w:p>
            <w:pPr>
              <w:spacing w:before="120" w:after="0"/>
              <w:jc w:val="center"/>
            </w:pPr>
            <w:r>
              <w:rPr>
                <w:rFonts w:ascii="Calibri" w:hAnsi="Calibri"/>
                <w:b/>
                <w:color w:val="C45C26"/>
                <w:sz w:val="24"/>
              </w:rPr>
              <w:t>120+</w:t>
            </w:r>
          </w:p>
          <w:p>
            <w:pPr>
              <w:spacing w:after="120"/>
              <w:jc w:val="center"/>
            </w:pPr>
            <w:r>
              <w:rPr>
                <w:rFonts w:ascii="Calibri" w:hAnsi="Calibri"/>
                <w:color w:val="64748B"/>
                <w:sz w:val="14"/>
              </w:rPr>
              <w:t>USERS SUPPORTED</w:t>
            </w:r>
          </w:p>
        </w:tc>
        <w:tc>
          <w:tcPr>
            <w:tcW w:type="dxa" w:w="2685"/>
            <w:shd w:val="clear" w:color="auto" w:fill="F6EFE6"/>
          </w:tcPr>
          <w:p>
            <w:pPr>
              <w:spacing w:before="120" w:after="0"/>
              <w:jc w:val="center"/>
            </w:pPr>
            <w:r>
              <w:rPr>
                <w:rFonts w:ascii="Calibri" w:hAnsi="Calibri"/>
                <w:b/>
                <w:color w:val="C45C26"/>
                <w:sz w:val="24"/>
              </w:rPr>
              <w:t>~98%</w:t>
            </w:r>
          </w:p>
          <w:p>
            <w:pPr>
              <w:spacing w:after="120"/>
              <w:jc w:val="center"/>
            </w:pPr>
            <w:r>
              <w:rPr>
                <w:rFonts w:ascii="Calibri" w:hAnsi="Calibri"/>
                <w:color w:val="64748B"/>
                <w:sz w:val="14"/>
              </w:rPr>
              <w:t>UPTIME</w:t>
            </w:r>
          </w:p>
        </w:tc>
        <w:tc>
          <w:tcPr>
            <w:tcW w:type="dxa" w:w="2685"/>
            <w:shd w:val="clear" w:color="auto" w:fill="F6EFE6"/>
          </w:tcPr>
          <w:p>
            <w:pPr>
              <w:spacing w:before="120" w:after="0"/>
              <w:jc w:val="center"/>
            </w:pPr>
            <w:r>
              <w:rPr>
                <w:rFonts w:ascii="Calibri" w:hAnsi="Calibri"/>
                <w:b/>
                <w:color w:val="C45C26"/>
                <w:sz w:val="24"/>
              </w:rPr>
              <w:t>40+</w:t>
            </w:r>
          </w:p>
          <w:p>
            <w:pPr>
              <w:spacing w:after="120"/>
              <w:jc w:val="center"/>
            </w:pPr>
            <w:r>
              <w:rPr>
                <w:rFonts w:ascii="Calibri" w:hAnsi="Calibri"/>
                <w:color w:val="64748B"/>
                <w:sz w:val="14"/>
              </w:rPr>
              <w:t>REST APIS</w:t>
            </w:r>
          </w:p>
        </w:tc>
        <w:tc>
          <w:tcPr>
            <w:tcW w:type="dxa" w:w="2685"/>
            <w:shd w:val="clear" w:color="auto" w:fill="F6EFE6"/>
          </w:tcPr>
          <w:p>
            <w:pPr>
              <w:spacing w:before="120" w:after="0"/>
              <w:jc w:val="center"/>
            </w:pPr>
            <w:r>
              <w:rPr>
                <w:rFonts w:ascii="Calibri" w:hAnsi="Calibri"/>
                <w:b/>
                <w:color w:val="C45C26"/>
                <w:sz w:val="24"/>
              </w:rPr>
              <w:t>SOPs</w:t>
            </w:r>
          </w:p>
          <w:p>
            <w:pPr>
              <w:spacing w:after="120"/>
              <w:jc w:val="center"/>
            </w:pPr>
            <w:r>
              <w:rPr>
                <w:rFonts w:ascii="Calibri" w:hAnsi="Calibri"/>
                <w:color w:val="64748B"/>
                <w:sz w:val="14"/>
              </w:rPr>
              <w:t>DOCS / KB</w:t>
            </w:r>
          </w:p>
        </w:tc>
      </w:tr>
    </w:tbl>
    <w:p>
      <w:pPr>
        <w:spacing w:after="80"/>
      </w:pPr>
    </w:p>
    <w:p>
      <w:pPr>
        <w:spacing w:before="160" w:after="20"/>
        <w:pBdr>
          <w:bottom w:val="single" w:sz="12" w:space="1" w:color="C45C26"/>
        </w:pBdr>
      </w:pPr>
      <w:r>
        <w:rPr>
          <w:rFonts w:ascii="Calibri" w:hAnsi="Calibri"/>
          <w:b/>
          <w:color w:val="0F2744"/>
          <w:sz w:val="18"/>
        </w:rPr>
        <w:t>PROFILE</w:t>
      </w:r>
    </w:p>
    <w:p>
      <w:pPr>
        <w:spacing w:after="120"/>
      </w:pPr>
      <w:r>
        <w:rPr>
          <w:rFonts w:ascii="Calibri" w:hAnsi="Calibri"/>
          <w:b w:val="0"/>
          <w:color w:val="1E293B"/>
          <w:sz w:val="20"/>
        </w:rPr>
        <w:t>IT operations specialist with around three years at PATH reviewing and configuring healthcare and workplace platforms for 120+ users at roughly 98% uptime. Audits settings, access, and data flow, then corrects configuration and writes the SOP so another team can keep it. Integrates systems (REST APIs, EMR–lab–pharmacy, workflow automation) and configures Paystack so systems can take payments, including M-Pesa STK push. Also reviews websites and SaaS setups (Microsoft 365, Zoho, Google Workspace, WordPress). Protects health information through access control and least privilege. Remote-ready for US Central Time hours.</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5371"/>
        <w:gridCol w:w="5371"/>
      </w:tblGrid>
      <w:tr>
        <w:tc>
          <w:tcPr>
            <w:tcW w:type="dxa" w:w="173"/>
            <w:shd w:val="clear" w:color="auto" w:fill="C45C26"/>
          </w:tcPr>
          <w:p/>
        </w:tc>
        <w:tc>
          <w:tcPr>
            <w:tcW w:type="dxa" w:w="9994"/>
            <w:shd w:val="clear" w:color="auto" w:fill="FBF7F2"/>
          </w:tcPr>
          <w:p>
            <w:pPr>
              <w:spacing w:before="20" w:after="20"/>
            </w:pPr>
            <w:r>
              <w:rPr>
                <w:rFonts w:ascii="Calibri" w:hAnsi="Calibri"/>
                <w:b/>
                <w:color w:val="C45C26"/>
                <w:sz w:val="17"/>
              </w:rPr>
              <w:t xml:space="preserve">Platform audit  </w:t>
            </w:r>
            <w:r>
              <w:rPr>
                <w:rFonts w:ascii="Calibri" w:hAnsi="Calibri"/>
                <w:color w:val="1E293B"/>
                <w:sz w:val="17"/>
              </w:rPr>
              <w:t>Review settings, access, forms, workflows, and paid-feature use; correct configuration; keep affiliated sites consistent</w:t>
            </w:r>
          </w:p>
          <w:p>
            <w:pPr>
              <w:spacing w:before="20" w:after="20"/>
            </w:pPr>
            <w:r>
              <w:rPr>
                <w:rFonts w:ascii="Calibri" w:hAnsi="Calibri"/>
                <w:b/>
                <w:color w:val="C45C26"/>
                <w:sz w:val="17"/>
              </w:rPr>
              <w:t xml:space="preserve">Integrations  </w:t>
            </w:r>
            <w:r>
              <w:rPr>
                <w:rFonts w:ascii="Calibri" w:hAnsi="Calibri"/>
                <w:color w:val="1E293B"/>
                <w:sz w:val="17"/>
              </w:rPr>
              <w:t>REST APIs, EMR–lab–pharmacy and national data-warehouse links, workflow automation, data accuracy</w:t>
            </w:r>
          </w:p>
          <w:p>
            <w:pPr>
              <w:spacing w:before="20" w:after="20"/>
            </w:pPr>
            <w:r>
              <w:rPr>
                <w:rFonts w:ascii="Calibri" w:hAnsi="Calibri"/>
                <w:b/>
                <w:color w:val="C45C26"/>
                <w:sz w:val="17"/>
              </w:rPr>
              <w:t xml:space="preserve">Payments and SaaS  </w:t>
            </w:r>
            <w:r>
              <w:rPr>
                <w:rFonts w:ascii="Calibri" w:hAnsi="Calibri"/>
                <w:color w:val="1E293B"/>
                <w:sz w:val="17"/>
              </w:rPr>
              <w:t>Paystack API, M-Pesa STK push, multi-channel collection; Microsoft 365, Zoho, Google Workspace, WordPress / CMS, technical site review</w:t>
            </w:r>
          </w:p>
          <w:p>
            <w:pPr>
              <w:spacing w:before="20" w:after="20"/>
            </w:pPr>
            <w:r>
              <w:rPr>
                <w:rFonts w:ascii="Calibri" w:hAnsi="Calibri"/>
                <w:b/>
                <w:color w:val="C45C26"/>
                <w:sz w:val="17"/>
              </w:rPr>
              <w:t xml:space="preserve">Documentation  </w:t>
            </w:r>
            <w:r>
              <w:rPr>
                <w:rFonts w:ascii="Calibri" w:hAnsi="Calibri"/>
                <w:color w:val="1E293B"/>
                <w:sz w:val="17"/>
              </w:rPr>
              <w:t>SOPs, job aids, knowledge base, process notes the next person can follow</w:t>
            </w:r>
          </w:p>
          <w:p>
            <w:pPr>
              <w:spacing w:before="20" w:after="20"/>
            </w:pPr>
            <w:r>
              <w:rPr>
                <w:rFonts w:ascii="Calibri" w:hAnsi="Calibri"/>
                <w:b/>
                <w:color w:val="C45C26"/>
                <w:sz w:val="17"/>
              </w:rPr>
              <w:t xml:space="preserve">Healthcare privacy  </w:t>
            </w:r>
            <w:r>
              <w:rPr>
                <w:rFonts w:ascii="Calibri" w:hAnsi="Calibri"/>
                <w:color w:val="1E293B"/>
                <w:sz w:val="17"/>
              </w:rPr>
              <w:t>Access control, encryption, least privilege, staff training; HIPAA-aware, ready to sign BAA</w:t>
            </w:r>
          </w:p>
        </w:tc>
      </w:tr>
    </w:tbl>
    <w:p>
      <w:pPr>
        <w:spacing w:after="80"/>
      </w:pPr>
    </w:p>
    <w:p>
      <w:pPr>
        <w:spacing w:before="160" w:after="20"/>
        <w:pBdr>
          <w:bottom w:val="single" w:sz="12" w:space="1" w:color="C45C26"/>
        </w:pBdr>
      </w:pPr>
      <w:r>
        <w:rPr>
          <w:rFonts w:ascii="Calibri" w:hAnsi="Calibri"/>
          <w:b/>
          <w:color w:val="0F2744"/>
          <w:sz w:val="18"/>
        </w:rPr>
        <w:t>EXPERIENCE</w:t>
      </w:r>
    </w:p>
    <w:p>
      <w:pPr>
        <w:tabs>
          <w:tab w:pos="10008" w:val="decimal"/>
        </w:tabs>
        <w:spacing w:before="120" w:after="0"/>
      </w:pPr>
      <w:r>
        <w:rPr>
          <w:rFonts w:ascii="Calibri" w:hAnsi="Calibri"/>
          <w:b/>
          <w:color w:val="C45C26"/>
          <w:sz w:val="20"/>
        </w:rPr>
        <w:t>Health Informatics / HMIS Officer</w:t>
      </w:r>
      <w:r>
        <w:tab/>
      </w:r>
      <w:r>
        <w:rPr>
          <w:rFonts w:ascii="Calibri" w:hAnsi="Calibri"/>
          <w:color w:val="64748B"/>
          <w:sz w:val="17"/>
        </w:rPr>
        <w:t>Mar 2025 to Present</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Kisumu/Nyamira, Kenya (Hybrid / Remote)</w:t>
      </w:r>
    </w:p>
    <w:p>
      <w:pPr>
        <w:spacing w:after="40" w:line="259" w:lineRule="auto"/>
        <w:ind w:left="317"/>
      </w:pPr>
      <w:r>
        <w:rPr>
          <w:rFonts w:ascii="Calibri" w:hAnsi="Calibri"/>
          <w:b/>
          <w:color w:val="C45C26"/>
        </w:rPr>
        <w:t xml:space="preserve">▪  </w:t>
      </w:r>
      <w:r>
        <w:rPr>
          <w:rFonts w:ascii="Calibri" w:hAnsi="Calibri"/>
          <w:color w:val="1E293B"/>
          <w:sz w:val="18"/>
        </w:rPr>
        <w:t>Audit healthcare platforms (KenyaEMR/TaifaCare, DHIS2): settings, access, data flow, and risk. Correct configuration and keep critical systems above 98% uptime.</w:t>
      </w:r>
    </w:p>
    <w:p>
      <w:pPr>
        <w:spacing w:after="40" w:line="259" w:lineRule="auto"/>
        <w:ind w:left="317"/>
      </w:pPr>
      <w:r>
        <w:rPr>
          <w:rFonts w:ascii="Calibri" w:hAnsi="Calibri"/>
          <w:b/>
          <w:color w:val="C45C26"/>
        </w:rPr>
        <w:t xml:space="preserve">▪  </w:t>
      </w:r>
      <w:r>
        <w:rPr>
          <w:rFonts w:ascii="Calibri" w:hAnsi="Calibri"/>
          <w:color w:val="1E293B"/>
          <w:sz w:val="18"/>
        </w:rPr>
        <w:t>Review integrations between clinical and reporting systems (EMR–laboratory–pharmacy, national data-warehouse APIs) and tighten workflows so data stays accurate.</w:t>
      </w:r>
    </w:p>
    <w:p>
      <w:pPr>
        <w:spacing w:after="40" w:line="259" w:lineRule="auto"/>
        <w:ind w:left="317"/>
      </w:pPr>
      <w:r>
        <w:rPr>
          <w:rFonts w:ascii="Calibri" w:hAnsi="Calibri"/>
          <w:b/>
          <w:color w:val="C45C26"/>
        </w:rPr>
        <w:t xml:space="preserve">▪  </w:t>
      </w:r>
      <w:r>
        <w:rPr>
          <w:rFonts w:ascii="Calibri" w:hAnsi="Calibri"/>
          <w:color w:val="1E293B"/>
          <w:sz w:val="18"/>
        </w:rPr>
        <w:t>Write SOPs, job aids, and technical notes so programme and facility teams can maintain the set-up after the change.</w:t>
      </w:r>
    </w:p>
    <w:p>
      <w:pPr>
        <w:tabs>
          <w:tab w:pos="10008" w:val="decimal"/>
        </w:tabs>
        <w:spacing w:before="120" w:after="0"/>
      </w:pPr>
      <w:r>
        <w:rPr>
          <w:rFonts w:ascii="Calibri" w:hAnsi="Calibri"/>
          <w:b/>
          <w:color w:val="C45C26"/>
          <w:sz w:val="20"/>
        </w:rPr>
        <w:t>ICT Associate</w:t>
      </w:r>
      <w:r>
        <w:tab/>
      </w:r>
      <w:r>
        <w:rPr>
          <w:rFonts w:ascii="Calibri" w:hAnsi="Calibri"/>
          <w:color w:val="64748B"/>
          <w:sz w:val="17"/>
        </w:rPr>
        <w:t>Jan 2024 to Mar 2025</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Kisumu, Kenya</w:t>
      </w:r>
    </w:p>
    <w:p>
      <w:pPr>
        <w:spacing w:after="40" w:line="259" w:lineRule="auto"/>
        <w:ind w:left="317"/>
      </w:pPr>
      <w:r>
        <w:rPr>
          <w:rFonts w:ascii="Calibri" w:hAnsi="Calibri"/>
          <w:b/>
          <w:color w:val="C45C26"/>
        </w:rPr>
        <w:t xml:space="preserve">▪  </w:t>
      </w:r>
      <w:r>
        <w:rPr>
          <w:rFonts w:ascii="Calibri" w:hAnsi="Calibri"/>
          <w:color w:val="1E293B"/>
          <w:sz w:val="18"/>
        </w:rPr>
        <w:t>Configured Microsoft 365, Active Directory, and Freshdesk / Zoho Desk for 120+ users across sites: accounts, permissions, and the same standard in each place.</w:t>
      </w:r>
    </w:p>
    <w:p>
      <w:pPr>
        <w:spacing w:after="40" w:line="259" w:lineRule="auto"/>
        <w:ind w:left="317"/>
      </w:pPr>
      <w:r>
        <w:rPr>
          <w:rFonts w:ascii="Calibri" w:hAnsi="Calibri"/>
          <w:b/>
          <w:color w:val="C45C26"/>
        </w:rPr>
        <w:t xml:space="preserve">▪  </w:t>
      </w:r>
      <w:r>
        <w:rPr>
          <w:rFonts w:ascii="Calibri" w:hAnsi="Calibri"/>
          <w:color w:val="1E293B"/>
          <w:sz w:val="18"/>
        </w:rPr>
        <w:t>Turned repeat tickets into knowledge-base articles and onboarding steps so the process, not the person, carried the work.</w:t>
      </w:r>
    </w:p>
    <w:p>
      <w:pPr>
        <w:spacing w:after="40" w:line="259" w:lineRule="auto"/>
        <w:ind w:left="317"/>
      </w:pPr>
      <w:r>
        <w:rPr>
          <w:rFonts w:ascii="Calibri" w:hAnsi="Calibri"/>
          <w:b/>
          <w:color w:val="C45C26"/>
        </w:rPr>
        <w:t xml:space="preserve">▪  </w:t>
      </w:r>
      <w:r>
        <w:rPr>
          <w:rFonts w:ascii="Calibri" w:hAnsi="Calibri"/>
          <w:color w:val="1E293B"/>
          <w:sz w:val="18"/>
        </w:rPr>
        <w:t>Worked independently and remotely with non-technical staff; isolated identity vs endpoint vs network, then documented the fix.</w:t>
      </w:r>
    </w:p>
    <w:p>
      <w:pPr>
        <w:tabs>
          <w:tab w:pos="10008" w:val="decimal"/>
        </w:tabs>
        <w:spacing w:before="120" w:after="0"/>
      </w:pPr>
      <w:r>
        <w:rPr>
          <w:rFonts w:ascii="Calibri" w:hAnsi="Calibri"/>
          <w:b/>
          <w:color w:val="C45C26"/>
          <w:sz w:val="20"/>
        </w:rPr>
        <w:t>Digital Systems &amp; IT Support</w:t>
      </w:r>
      <w:r>
        <w:tab/>
      </w:r>
      <w:r>
        <w:rPr>
          <w:rFonts w:ascii="Calibri" w:hAnsi="Calibri"/>
          <w:color w:val="64748B"/>
          <w:sz w:val="17"/>
        </w:rPr>
        <w:t>2023 to Present</w:t>
      </w:r>
    </w:p>
    <w:p>
      <w:pPr>
        <w:spacing w:after="40"/>
        <w:ind w:left="86"/>
      </w:pPr>
      <w:r>
        <w:rPr>
          <w:rFonts w:ascii="Calibri" w:hAnsi="Calibri"/>
          <w:i/>
          <w:color w:val="64748B"/>
          <w:sz w:val="18"/>
        </w:rPr>
        <w:t>Independent / Freelance</w:t>
      </w:r>
      <w:r>
        <w:rPr>
          <w:rFonts w:ascii="Calibri" w:hAnsi="Calibri"/>
          <w:color w:val="E8C4A8"/>
          <w:sz w:val="18"/>
        </w:rPr>
        <w:t xml:space="preserve">   |   </w:t>
      </w:r>
      <w:r>
        <w:rPr>
          <w:rFonts w:ascii="Calibri" w:hAnsi="Calibri"/>
          <w:i/>
          <w:color w:val="64748B"/>
          <w:sz w:val="18"/>
        </w:rPr>
        <w:t>Remote (project-based)</w:t>
      </w:r>
    </w:p>
    <w:p>
      <w:pPr>
        <w:spacing w:after="40" w:line="259" w:lineRule="auto"/>
        <w:ind w:left="317"/>
      </w:pPr>
      <w:r>
        <w:rPr>
          <w:rFonts w:ascii="Calibri" w:hAnsi="Calibri"/>
          <w:b/>
          <w:color w:val="C45C26"/>
        </w:rPr>
        <w:t xml:space="preserve">▪  </w:t>
      </w:r>
      <w:r>
        <w:rPr>
          <w:rFonts w:ascii="Calibri" w:hAnsi="Calibri"/>
          <w:color w:val="1E293B"/>
          <w:sz w:val="18"/>
        </w:rPr>
        <w:t>Reviewed and set up small-business platforms: Microsoft 365, Zoho, Google Workspace, and websites (WordPress / CMS). Checked what was misconfigured, unused, or inconsistent.</w:t>
      </w:r>
    </w:p>
    <w:p>
      <w:pPr>
        <w:spacing w:after="40" w:line="259" w:lineRule="auto"/>
        <w:ind w:left="317"/>
      </w:pPr>
      <w:r>
        <w:rPr>
          <w:rFonts w:ascii="Calibri" w:hAnsi="Calibri"/>
          <w:b/>
          <w:color w:val="C45C26"/>
        </w:rPr>
        <w:t xml:space="preserve">▪  </w:t>
      </w:r>
      <w:r>
        <w:rPr>
          <w:rFonts w:ascii="Calibri" w:hAnsi="Calibri"/>
          <w:color w:val="1E293B"/>
          <w:sz w:val="18"/>
        </w:rPr>
        <w:t>Configured Paystack APIs so more than one system could collect payments from different channels, including M-Pesa STK push. Built sites and workflows (including a Next.js platform with 40+ REST APIs) and left documentation the client could keep.</w:t>
      </w:r>
    </w:p>
    <w:p>
      <w:pPr>
        <w:tabs>
          <w:tab w:pos="10008" w:val="decimal"/>
        </w:tabs>
        <w:spacing w:before="120" w:after="0"/>
      </w:pPr>
      <w:r>
        <w:rPr>
          <w:rFonts w:ascii="Calibri" w:hAnsi="Calibri"/>
          <w:b/>
          <w:color w:val="C45C26"/>
          <w:sz w:val="20"/>
        </w:rPr>
        <w:t>ICT Intern</w:t>
      </w:r>
      <w:r>
        <w:tab/>
      </w:r>
      <w:r>
        <w:rPr>
          <w:rFonts w:ascii="Calibri" w:hAnsi="Calibri"/>
          <w:color w:val="64748B"/>
          <w:sz w:val="17"/>
        </w:rPr>
        <w:t>Apr 2023 to Dec 2023</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Homa Bay, Kenya</w:t>
      </w:r>
    </w:p>
    <w:p>
      <w:pPr>
        <w:spacing w:after="40" w:line="259" w:lineRule="auto"/>
        <w:ind w:left="317"/>
      </w:pPr>
      <w:r>
        <w:rPr>
          <w:rFonts w:ascii="Calibri" w:hAnsi="Calibri"/>
          <w:b/>
          <w:color w:val="C45C26"/>
        </w:rPr>
        <w:t xml:space="preserve">▪  </w:t>
      </w:r>
      <w:r>
        <w:rPr>
          <w:rFonts w:ascii="Calibri" w:hAnsi="Calibri"/>
          <w:color w:val="1E293B"/>
          <w:sz w:val="18"/>
        </w:rPr>
        <w:t>Supported Freshdesk tickets, imaging, and process documentation under ITIL and SLA.</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173"/>
        <w:gridCol w:w="1699"/>
        <w:gridCol w:w="8294"/>
      </w:tblGrid>
      <w:tr>
        <w:tc>
          <w:tcPr>
            <w:tcW w:type="dxa" w:w="3581"/>
            <w:vMerge w:val="restart"/>
            <w:shd w:val="clear" w:color="auto" w:fill="C45C26"/>
          </w:tcPr>
          <w:p/>
        </w:tc>
        <w:tc>
          <w:tcPr>
            <w:tcW w:type="dxa" w:w="3581"/>
            <w:shd w:val="clear" w:color="auto" w:fill="FBF7F2"/>
          </w:tcPr>
          <w:p>
            <w:pPr>
              <w:spacing w:before="100" w:after="80"/>
              <w:jc w:val="right"/>
            </w:pPr>
            <w:r>
              <w:rPr>
                <w:rFonts w:ascii="Calibri" w:hAnsi="Calibri"/>
                <w:b/>
                <w:color w:val="C45C26"/>
                <w:sz w:val="14"/>
              </w:rPr>
              <w:t>EDUCATION</w:t>
            </w:r>
          </w:p>
        </w:tc>
        <w:tc>
          <w:tcPr>
            <w:tcW w:type="dxa" w:w="3581"/>
            <w:shd w:val="clear" w:color="auto" w:fill="FBF7F2"/>
          </w:tcPr>
          <w:p>
            <w:pPr>
              <w:spacing w:before="40" w:after="40"/>
            </w:pPr>
            <w:r>
              <w:rPr>
                <w:rFonts w:ascii="Calibri" w:hAnsi="Calibri"/>
                <w:b/>
                <w:color w:val="0F2744"/>
                <w:sz w:val="20"/>
              </w:rPr>
              <w:t>BSc, Applied Computing  ·  KCA University, Nairobi  ·  November 2023</w:t>
            </w:r>
          </w:p>
          <w:p>
            <w:pPr>
              <w:spacing w:before="40" w:after="40"/>
            </w:pPr>
            <w:r>
              <w:rPr>
                <w:rFonts w:ascii="Calibri" w:hAnsi="Calibri"/>
                <w:b w:val="0"/>
                <w:color w:val="64748B"/>
                <w:sz w:val="16"/>
              </w:rPr>
              <w:t>Cybersecurity and Digital Forensics. Coursework: Ethical Hacking, Digital Forensics, Data Protection, Cloud Computing.</w:t>
            </w:r>
          </w:p>
        </w:tc>
      </w:tr>
      <w:tr>
        <w:tc>
          <w:tcPr>
            <w:tcW w:type="dxa" w:w="3581"/>
            <w:vMerge/>
          </w:tcPr>
          <w:p/>
        </w:tc>
        <w:tc>
          <w:tcPr>
            <w:tcW w:type="dxa" w:w="3581"/>
            <w:shd w:val="clear" w:color="auto" w:fill="FBF7F2"/>
          </w:tcPr>
          <w:p>
            <w:pPr>
              <w:spacing w:before="100" w:after="80"/>
              <w:jc w:val="right"/>
            </w:pPr>
            <w:r>
              <w:rPr>
                <w:rFonts w:ascii="Calibri" w:hAnsi="Calibri"/>
                <w:b/>
                <w:color w:val="C45C26"/>
                <w:sz w:val="14"/>
              </w:rPr>
              <w:t>CERTIFICATIONS</w:t>
            </w:r>
          </w:p>
        </w:tc>
        <w:tc>
          <w:tcPr>
            <w:tcW w:type="dxa" w:w="3581"/>
            <w:shd w:val="clear" w:color="auto" w:fill="FBF7F2"/>
          </w:tcPr>
          <w:p>
            <w:pPr>
              <w:spacing w:before="40" w:after="40"/>
            </w:pPr>
            <w:r>
              <w:rPr>
                <w:rFonts w:ascii="Calibri" w:hAnsi="Calibri"/>
                <w:b w:val="0"/>
                <w:color w:val="1E293B"/>
                <w:sz w:val="18"/>
              </w:rPr>
              <w:t>AZ-900  ·  CCNA  ·  Google IT Support  ·  IBM Technical Support  ·  GitHub Professional  ·  Microsoft Data Analysis</w:t>
            </w:r>
          </w:p>
        </w:tc>
      </w:tr>
    </w:tbl>
    <w:p>
      <w:pPr>
        <w:spacing w:before="120" w:after="40"/>
      </w:pP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