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Network Administrator  |  CCNA  |  Multi-site clinical networks, ~98% availability  |  Nairobi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CCNA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CERTIFIED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3+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NETWORK OPERATIONS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AVAILABILITY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Multi-site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INTER-SITE LINKS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CCNA-certified network administrator with about three years running multi-site network operations for PATH, a global health organisation, holding clinical and enterprise systems at roughly 98% availability for 120+ users. I cover LAN and WAN, inter-site links, wireless, VPN, VLAN segmentation, IP telephony, firewalls and monitoring. Healthcare taught me that network downtime is a patient-safety event. Bachelor's degree in Applied Computing, specialising in cybersecurity.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 operations  </w:t>
            </w:r>
            <w:r>
              <w:rPr>
                <w:rFonts w:ascii="Calibri" w:hAnsi="Calibri"/>
                <w:color w:val="1E293B"/>
                <w:sz w:val="17"/>
              </w:rPr>
              <w:t>Availability, performance, capacity and integrity of local and wide area networks (LAN/WAN), internet and inter-site links, routing and switching, VLAN segmentation, TCP/IP, DNS and DHCP, VPN, IP addressing and uptime reporting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Platforms and wireless  </w:t>
            </w:r>
            <w:r>
              <w:rPr>
                <w:rFonts w:ascii="Calibri" w:hAnsi="Calibri"/>
                <w:color w:val="1E293B"/>
                <w:sz w:val="17"/>
              </w:rPr>
              <w:t>Cisco Meraki access points, switches and security appliances; MikroTik; Fortinet FortiGate; structured cabling; multi-AP staff and guest Wi-Fi; IP telephony and VoIP (3CX); onboarding and segmentation of clinical and IoT devices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and resilience  </w:t>
            </w:r>
            <w:r>
              <w:rPr>
                <w:rFonts w:ascii="Calibri" w:hAnsi="Calibri"/>
                <w:color w:val="1E293B"/>
                <w:sz w:val="17"/>
              </w:rPr>
              <w:t>Firewall rules and policy, segmentation, MFA and identity, access control, endpoint protection, patch management and vulnerability reporting alongside cyber security functions; backups and disaster recovery, cloud and partner-hosted connectivity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and documentation  </w:t>
            </w:r>
            <w:r>
              <w:rPr>
                <w:rFonts w:ascii="Calibri" w:hAnsi="Calibri"/>
                <w:color w:val="1E293B"/>
                <w:sz w:val="17"/>
              </w:rPr>
              <w:t>ITIL practice and SLA, Freshdesk and Zoho Desk, incident response and RCA, Grafana monitoring; resilient, well documented and scalable network design; SOPs, ISP and vendor management, user training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  ·  available for Nairobi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Hold clinical and enterprise systems available around the clock across facilities at over 98% uptime, covering the network path end to end: site links, addressing, connectivity to cloud and partner-hosted systems, and the servers behind it.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Windows and Linux servers carrying clinical data with backups, encryption, patching and disaster recovery.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Run system audits, data-flow reviews and risk identification against national standards, working with clinical departments, the ICT team and service providers.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access points, switches and security appliances across sites, sustaining roughly 98% availability for 120+ users on staff and guest wireless, wired LAN and inter-site connectivity.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network security controls: firewall policy, VLAN segmentation, VPN access, MFA and least-privilege identity in Active Directory and Entra ID, endpoint protection and patching, and responded to alerts.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Installed and supported IP telephony and VoIP, cut incident response time about 25% through ITIL workflows and SLA tracking in Freshdesk, and handled ISP and vendor evaluations with network documentation kept current.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 and WAN, routers, switches, structured cabling and server-room diagnostics; firewall rules and VLAN segmentation with senior engineers.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Patrick Ondieki, ICT Officer, PATH  |  pondieki@path.org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Marvin Ngosa, Systems Administrator, PATH  |  mngosa@path.org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Gadaffi Ochieng, Procurement Officer, Ampath  |  ochienggadaffi@gmail.com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