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  <w:jc w:val="left"/>
      </w:pPr>
      <w:r>
        <w:rPr>
          <w:rFonts w:ascii="Calibri" w:hAnsi="Calibri"/>
          <w:b/>
          <w:color w:val="0F2744"/>
          <w:sz w:val="44"/>
        </w:rPr>
        <w:t>MESHACK ARIRI</w:t>
      </w:r>
    </w:p>
    <w:p>
      <w:pPr>
        <w:spacing w:after="60"/>
        <w:jc w:val="left"/>
      </w:pPr>
      <w:r>
        <w:rPr>
          <w:rFonts w:ascii="Calibri" w:hAnsi="Calibri"/>
          <w:color w:val="3D4F63"/>
          <w:sz w:val="20"/>
        </w:rPr>
        <w:t>Information Security Analyst  |  EDR, MDM, SIEM-class ops, SETA, Kenya DPA  |  INGO</w:t>
      </w:r>
    </w:p>
    <w:p>
      <w:pPr>
        <w:spacing w:after="20"/>
        <w:jc w:val="left"/>
      </w:pPr>
      <w:r>
        <w:rPr>
          <w:rFonts w:ascii="Calibri" w:hAnsi="Calibri"/>
          <w:color w:val="64748B"/>
          <w:sz w:val="16"/>
        </w:rPr>
        <w:t>Kisumu, Kenya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+254 741 174 779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aririmeshack@gmail.com</w:t>
      </w:r>
    </w:p>
    <w:p>
      <w:pPr>
        <w:spacing w:after="20"/>
        <w:jc w:val="left"/>
      </w:pPr>
      <w:r>
        <w:rPr>
          <w:rFonts w:ascii="Calibri" w:hAnsi="Calibri"/>
          <w:color w:val="64748B"/>
          <w:sz w:val="16"/>
        </w:rPr>
        <w:t>linkedin.com/in/meshack-ariri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meshreallycodes.online</w:t>
      </w:r>
    </w:p>
    <w:p>
      <w:pPr>
        <w:spacing w:before="80" w:after="120"/>
        <w:pBdr>
          <w:bottom w:val="single" w:sz="18" w:space="1" w:color="C45C26"/>
        </w:pBdr>
      </w:pPr>
    </w:p>
    <w:tbl>
      <w:tblPr>
        <w:tblW w:type="auto" w:w="0"/>
        <w:tblLook w:firstColumn="1" w:firstRow="1" w:lastColumn="0" w:lastRow="0" w:noHBand="0" w:noVBand="1" w:val="04A0"/>
        <w:tblW w:w="10166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85"/>
        <w:gridCol w:w="2685"/>
        <w:gridCol w:w="2685"/>
        <w:gridCol w:w="2685"/>
      </w:tblGrid>
      <w:tr>
        <w:tc>
          <w:tcPr>
            <w:tcW w:type="dxa" w:w="2685"/>
            <w:shd w:val="clear" w:color="auto" w:fill="F6EFE6"/>
          </w:tcPr>
          <w:p>
            <w:pPr>
              <w:spacing w:before="120" w:after="0"/>
              <w:jc w:val="center"/>
            </w:pPr>
            <w:r>
              <w:rPr>
                <w:rFonts w:ascii="Calibri" w:hAnsi="Calibri"/>
                <w:b/>
                <w:color w:val="C45C26"/>
                <w:sz w:val="24"/>
              </w:rPr>
              <w:t>3 yrs</w:t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color w:val="64748B"/>
                <w:sz w:val="14"/>
              </w:rPr>
              <w:t>IT SECURITY OPS</w:t>
            </w:r>
          </w:p>
        </w:tc>
        <w:tc>
          <w:tcPr>
            <w:tcW w:type="dxa" w:w="2685"/>
            <w:shd w:val="clear" w:color="auto" w:fill="F6EFE6"/>
          </w:tcPr>
          <w:p>
            <w:pPr>
              <w:spacing w:before="120" w:after="0"/>
              <w:jc w:val="center"/>
            </w:pPr>
            <w:r>
              <w:rPr>
                <w:rFonts w:ascii="Calibri" w:hAnsi="Calibri"/>
                <w:b/>
                <w:color w:val="C45C26"/>
                <w:sz w:val="24"/>
              </w:rPr>
              <w:t>EDR</w:t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color w:val="64748B"/>
                <w:sz w:val="14"/>
              </w:rPr>
              <w:t>MDM  SIEM</w:t>
            </w:r>
          </w:p>
        </w:tc>
        <w:tc>
          <w:tcPr>
            <w:tcW w:type="dxa" w:w="2685"/>
            <w:shd w:val="clear" w:color="auto" w:fill="F6EFE6"/>
          </w:tcPr>
          <w:p>
            <w:pPr>
              <w:spacing w:before="120" w:after="0"/>
              <w:jc w:val="center"/>
            </w:pPr>
            <w:r>
              <w:rPr>
                <w:rFonts w:ascii="Calibri" w:hAnsi="Calibri"/>
                <w:b/>
                <w:color w:val="C45C26"/>
                <w:sz w:val="24"/>
              </w:rPr>
              <w:t>80+</w:t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color w:val="64748B"/>
                <w:sz w:val="14"/>
              </w:rPr>
              <w:t>SETA TRAINED</w:t>
            </w:r>
          </w:p>
        </w:tc>
        <w:tc>
          <w:tcPr>
            <w:tcW w:type="dxa" w:w="2685"/>
            <w:shd w:val="clear" w:color="auto" w:fill="F6EFE6"/>
          </w:tcPr>
          <w:p>
            <w:pPr>
              <w:spacing w:before="120" w:after="0"/>
              <w:jc w:val="center"/>
            </w:pPr>
            <w:r>
              <w:rPr>
                <w:rFonts w:ascii="Calibri" w:hAnsi="Calibri"/>
                <w:b/>
                <w:color w:val="C45C26"/>
                <w:sz w:val="24"/>
              </w:rPr>
              <w:t>Kenya</w:t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color w:val="64748B"/>
                <w:sz w:val="14"/>
              </w:rPr>
              <w:t>NO VISA</w:t>
            </w:r>
          </w:p>
        </w:tc>
      </w:tr>
    </w:tbl>
    <w:p>
      <w:pPr>
        <w:spacing w:after="80"/>
      </w:pPr>
    </w:p>
    <w:p>
      <w:pPr>
        <w:spacing w:before="160" w:after="20"/>
        <w:pBdr>
          <w:bottom w:val="single" w:sz="12" w:space="1" w:color="C45C26"/>
        </w:pBdr>
      </w:pPr>
      <w:r>
        <w:rPr>
          <w:rFonts w:ascii="Calibri" w:hAnsi="Calibri"/>
          <w:b/>
          <w:color w:val="0F2744"/>
          <w:sz w:val="18"/>
        </w:rPr>
        <w:t>PROFILE</w:t>
      </w:r>
    </w:p>
    <w:p>
      <w:pPr>
        <w:spacing w:after="120"/>
      </w:pPr>
      <w:r>
        <w:rPr>
          <w:rFonts w:ascii="Calibri" w:hAnsi="Calibri"/>
          <w:b w:val="0"/>
          <w:color w:val="1E293B"/>
          <w:sz w:val="20"/>
        </w:rPr>
        <w:t>Information security analyst with 3 years of IT security operations at PATH, an INGO: hands-on administration of EDR, MDM-class endpoint management and SIEM-class monitoring, plus firewall and identity controls in the same family as SASE and CASB. I investigate alerts, run SETA, write policies people actually use, assess risk on systems and data flows, and support Kenya Data Protection Act and GDPR-aligned practice. Kenyan national. BSc Applied Computing, cybersecurity and digital forensics.</w:t>
      </w:r>
    </w:p>
    <w:tbl>
      <w:tblPr>
        <w:tblW w:type="auto" w:w="0"/>
        <w:tblLook w:firstColumn="1" w:firstRow="1" w:lastColumn="0" w:lastRow="0" w:noHBand="0" w:noVBand="1" w:val="04A0"/>
        <w:tblW w:w="10166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71"/>
        <w:gridCol w:w="5371"/>
      </w:tblGrid>
      <w:tr>
        <w:tc>
          <w:tcPr>
            <w:tcW w:type="dxa" w:w="173"/>
            <w:shd w:val="clear" w:color="auto" w:fill="C45C26"/>
          </w:tcPr>
          <w:p/>
        </w:tc>
        <w:tc>
          <w:tcPr>
            <w:tcW w:type="dxa" w:w="9994"/>
            <w:shd w:val="clear" w:color="auto" w:fill="FBF7F2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Security stack  </w:t>
            </w:r>
            <w:r>
              <w:rPr>
                <w:rFonts w:ascii="Calibri" w:hAnsi="Calibri"/>
                <w:color w:val="1E293B"/>
                <w:sz w:val="17"/>
              </w:rPr>
              <w:t>EDR and endpoint protection; MDM-class fleet (imaging, group policy, coverage across a distributed estate); SIEM-class logs, detections and alerting (Grafana, system and security logs); SASE/CASB-class control via identity, VPN and firewall policy (FortiGate, Meraki MX); MFA, IAM, patching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IR, risk, GRC  </w:t>
            </w:r>
            <w:r>
              <w:rPr>
                <w:rFonts w:ascii="Calibri" w:hAnsi="Calibri"/>
                <w:color w:val="1E293B"/>
                <w:sz w:val="17"/>
              </w:rPr>
              <w:t>Incident triage, investigation, containment, recovery and post-incident write-up; information and data security risk assessments; vulnerability reporting; ISO/IEC 27001 and NIST CSF control thinking; risk register and assurance evidence; partner due diligence packs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SETA, policy, privacy  </w:t>
            </w:r>
            <w:r>
              <w:rPr>
                <w:rFonts w:ascii="Calibri" w:hAnsi="Calibri"/>
                <w:color w:val="1E293B"/>
                <w:sz w:val="17"/>
              </w:rPr>
              <w:t>Security education, training and awareness; onboarding security training; phishing-awareness and higher-risk team sessions; policies, standards and guidelines that get used; Kenya Data Protection Act 2019, GDPR principles (mapping, retention, subject rights); AI governance and acceptable-use controls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Systems and people  </w:t>
            </w:r>
            <w:r>
              <w:rPr>
                <w:rFonts w:ascii="Calibri" w:hAnsi="Calibri"/>
                <w:color w:val="1E293B"/>
                <w:sz w:val="17"/>
              </w:rPr>
              <w:t>Internal help desk (Freshdesk, Jira Service Management); Microsoft 365 and Azure; Active Directory / Entra ID; written and spoken English; cross-cultural, multi-site teams</w:t>
            </w:r>
          </w:p>
        </w:tc>
      </w:tr>
    </w:tbl>
    <w:p>
      <w:pPr>
        <w:spacing w:after="80"/>
      </w:pPr>
    </w:p>
    <w:p>
      <w:pPr>
        <w:spacing w:before="160" w:after="20"/>
        <w:pBdr>
          <w:bottom w:val="single" w:sz="12" w:space="1" w:color="C45C26"/>
        </w:pBdr>
      </w:pPr>
      <w:r>
        <w:rPr>
          <w:rFonts w:ascii="Calibri" w:hAnsi="Calibri"/>
          <w:b/>
          <w:color w:val="0F2744"/>
          <w:sz w:val="18"/>
        </w:rPr>
        <w:t>EXPERIENCE</w:t>
      </w:r>
    </w:p>
    <w:p>
      <w:pPr>
        <w:tabs>
          <w:tab w:pos="10008" w:val="decimal"/>
        </w:tabs>
        <w:spacing w:before="120" w:after="0"/>
      </w:pPr>
      <w:r>
        <w:rPr>
          <w:rFonts w:ascii="Calibri" w:hAnsi="Calibri"/>
          <w:b/>
          <w:color w:val="C45C26"/>
          <w:sz w:val="20"/>
        </w:rPr>
        <w:t>Health Informatics / HMIS Officer</w:t>
      </w:r>
      <w:r>
        <w:tab/>
      </w:r>
      <w:r>
        <w:rPr>
          <w:rFonts w:ascii="Calibri" w:hAnsi="Calibri"/>
          <w:color w:val="64748B"/>
          <w:sz w:val="17"/>
        </w:rPr>
        <w:t>Mar 2025 to Present</w:t>
      </w:r>
    </w:p>
    <w:p>
      <w:pPr>
        <w:spacing w:after="40"/>
        <w:ind w:left="86"/>
      </w:pPr>
      <w:r>
        <w:rPr>
          <w:rFonts w:ascii="Calibri" w:hAnsi="Calibri"/>
          <w:i/>
          <w:color w:val="64748B"/>
          <w:sz w:val="18"/>
        </w:rPr>
        <w:t>PATH</w:t>
      </w:r>
      <w:r>
        <w:rPr>
          <w:rFonts w:ascii="Calibri" w:hAnsi="Calibri"/>
          <w:color w:val="E8C4A8"/>
          <w:sz w:val="18"/>
        </w:rPr>
        <w:t xml:space="preserve">   |   </w:t>
      </w:r>
      <w:r>
        <w:rPr>
          <w:rFonts w:ascii="Calibri" w:hAnsi="Calibri"/>
          <w:i/>
          <w:color w:val="64748B"/>
          <w:sz w:val="18"/>
        </w:rPr>
        <w:t>Kenya (INGO, multi-site)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Own day-to-day security operations on a distributed fleet: EDR coverage, SIEM-class log and alert review, MDM-class device compliance, and identity/MFA policy; investigate alerts and write what changes after the incident.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Run information and data security risk assessments on systems, vendors and data flows, including health and programme data, and turn findings into actions teams can take inside their timelines.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Support Kenya Data Protection Act and GDPR-aligned practice (access, retention, evidence) and AI acceptable-use guidance so responsible use is the default; keep an evidence pack for due-diligence questions.</w:t>
      </w:r>
    </w:p>
    <w:p>
      <w:pPr>
        <w:tabs>
          <w:tab w:pos="10008" w:val="decimal"/>
        </w:tabs>
        <w:spacing w:before="120" w:after="0"/>
      </w:pPr>
      <w:r>
        <w:rPr>
          <w:rFonts w:ascii="Calibri" w:hAnsi="Calibri"/>
          <w:b/>
          <w:color w:val="C45C26"/>
          <w:sz w:val="20"/>
        </w:rPr>
        <w:t>ICT Associate</w:t>
      </w:r>
      <w:r>
        <w:tab/>
      </w:r>
      <w:r>
        <w:rPr>
          <w:rFonts w:ascii="Calibri" w:hAnsi="Calibri"/>
          <w:color w:val="64748B"/>
          <w:sz w:val="17"/>
        </w:rPr>
        <w:t>Jan 2024 to Mar 2025</w:t>
      </w:r>
    </w:p>
    <w:p>
      <w:pPr>
        <w:spacing w:after="40"/>
        <w:ind w:left="86"/>
      </w:pPr>
      <w:r>
        <w:rPr>
          <w:rFonts w:ascii="Calibri" w:hAnsi="Calibri"/>
          <w:i/>
          <w:color w:val="64748B"/>
          <w:sz w:val="18"/>
        </w:rPr>
        <w:t>PATH</w:t>
      </w:r>
      <w:r>
        <w:rPr>
          <w:rFonts w:ascii="Calibri" w:hAnsi="Calibri"/>
          <w:color w:val="E8C4A8"/>
          <w:sz w:val="18"/>
        </w:rPr>
        <w:t xml:space="preserve">   |   </w:t>
      </w:r>
      <w:r>
        <w:rPr>
          <w:rFonts w:ascii="Calibri" w:hAnsi="Calibri"/>
          <w:i/>
          <w:color w:val="64748B"/>
          <w:sz w:val="18"/>
        </w:rPr>
        <w:t>Kenya (INGO, multi-site)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Administered endpoint protection/EDR, patching, MFA and access control; tuned firewall and VPN policy (the control layer next to SASE/CASB); maintained coverage and investigated security events under SLA.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Designed and ran SETA: onboarding security training, awareness material, and sessions for staff handling sensitive data; 80+ people trained so the policy changed behaviour, not just the slide deck.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Wrote SOPs and security guidelines that were adopted on the queue; contributed to the control set, audits and the help desk so tooling stayed useful rather than merely deployed.</w:t>
      </w:r>
    </w:p>
    <w:p>
      <w:pPr>
        <w:tabs>
          <w:tab w:pos="10008" w:val="decimal"/>
        </w:tabs>
        <w:spacing w:before="120" w:after="0"/>
      </w:pPr>
      <w:r>
        <w:rPr>
          <w:rFonts w:ascii="Calibri" w:hAnsi="Calibri"/>
          <w:b/>
          <w:color w:val="C45C26"/>
          <w:sz w:val="20"/>
        </w:rPr>
        <w:t>ICT Intern</w:t>
      </w:r>
      <w:r>
        <w:tab/>
      </w:r>
      <w:r>
        <w:rPr>
          <w:rFonts w:ascii="Calibri" w:hAnsi="Calibri"/>
          <w:color w:val="64748B"/>
          <w:sz w:val="17"/>
        </w:rPr>
        <w:t>Apr 2023 to Dec 2023</w:t>
      </w:r>
    </w:p>
    <w:p>
      <w:pPr>
        <w:spacing w:after="40"/>
        <w:ind w:left="86"/>
      </w:pPr>
      <w:r>
        <w:rPr>
          <w:rFonts w:ascii="Calibri" w:hAnsi="Calibri"/>
          <w:i/>
          <w:color w:val="64748B"/>
          <w:sz w:val="18"/>
        </w:rPr>
        <w:t>PATH</w:t>
      </w:r>
      <w:r>
        <w:rPr>
          <w:rFonts w:ascii="Calibri" w:hAnsi="Calibri"/>
          <w:color w:val="E8C4A8"/>
          <w:sz w:val="18"/>
        </w:rPr>
        <w:t xml:space="preserve">   |   </w:t>
      </w:r>
      <w:r>
        <w:rPr>
          <w:rFonts w:ascii="Calibri" w:hAnsi="Calibri"/>
          <w:i/>
          <w:color w:val="64748B"/>
          <w:sz w:val="18"/>
        </w:rPr>
        <w:t>Kenya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Supported logging, tickets, firewall and VLAN work with senior engineers, and wrote up procedures used in later incident handling.</w:t>
      </w:r>
    </w:p>
    <w:tbl>
      <w:tblPr>
        <w:tblW w:type="auto" w:w="0"/>
        <w:tblLook w:firstColumn="1" w:firstRow="1" w:lastColumn="0" w:lastRow="0" w:noHBand="0" w:noVBand="1" w:val="04A0"/>
        <w:tblW w:w="10166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3"/>
        <w:gridCol w:w="1699"/>
        <w:gridCol w:w="8294"/>
      </w:tblGrid>
      <w:tr>
        <w:tc>
          <w:tcPr>
            <w:tcW w:type="dxa" w:w="3581"/>
            <w:vMerge w:val="restart"/>
            <w:shd w:val="clear" w:color="auto" w:fill="C45C26"/>
          </w:tcPr>
          <w:p/>
        </w:tc>
        <w:tc>
          <w:tcPr>
            <w:tcW w:type="dxa" w:w="3581"/>
            <w:shd w:val="clear" w:color="auto" w:fill="FBF7F2"/>
          </w:tcPr>
          <w:p>
            <w:pPr>
              <w:spacing w:before="100" w:after="80"/>
              <w:jc w:val="right"/>
            </w:pPr>
            <w:r>
              <w:rPr>
                <w:rFonts w:ascii="Calibri" w:hAnsi="Calibri"/>
                <w:b/>
                <w:color w:val="C45C26"/>
                <w:sz w:val="14"/>
              </w:rPr>
              <w:t>EDUCATION</w:t>
            </w:r>
          </w:p>
        </w:tc>
        <w:tc>
          <w:tcPr>
            <w:tcW w:type="dxa" w:w="3581"/>
            <w:shd w:val="clear" w:color="auto" w:fill="FBF7F2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2744"/>
                <w:sz w:val="20"/>
              </w:rPr>
              <w:t>BSc, Applied Computing  ·  KCA University, Nairobi  ·  November 2023</w:t>
            </w:r>
          </w:p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64748B"/>
                <w:sz w:val="16"/>
              </w:rPr>
              <w:t>Cybersecurity and Digital Forensics. Coursework: Ethical Hacking, Digital Forensics, Data Protection, Cloud Computing.</w:t>
            </w:r>
          </w:p>
        </w:tc>
      </w:tr>
      <w:tr>
        <w:tc>
          <w:tcPr>
            <w:tcW w:type="dxa" w:w="3581"/>
            <w:vMerge/>
          </w:tcPr>
          <w:p/>
        </w:tc>
        <w:tc>
          <w:tcPr>
            <w:tcW w:type="dxa" w:w="3581"/>
            <w:shd w:val="clear" w:color="auto" w:fill="FBF7F2"/>
          </w:tcPr>
          <w:p>
            <w:pPr>
              <w:spacing w:before="100" w:after="80"/>
              <w:jc w:val="right"/>
            </w:pPr>
            <w:r>
              <w:rPr>
                <w:rFonts w:ascii="Calibri" w:hAnsi="Calibri"/>
                <w:b/>
                <w:color w:val="C45C26"/>
                <w:sz w:val="14"/>
              </w:rPr>
              <w:t>CERTIFICATIONS</w:t>
            </w:r>
          </w:p>
        </w:tc>
        <w:tc>
          <w:tcPr>
            <w:tcW w:type="dxa" w:w="3581"/>
            <w:shd w:val="clear" w:color="auto" w:fill="FBF7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AZ-900  ·  Google IT Support  ·  IBM Technical Support  ·  CCNA  ·  GitHub Professional  ·  Microsoft Data Analysis</w:t>
            </w:r>
          </w:p>
        </w:tc>
      </w:tr>
    </w:tbl>
    <w:p>
      <w:pPr>
        <w:spacing w:before="120" w:after="40"/>
      </w:pPr>
    </w:p>
    <w:p>
      <w:pPr>
        <w:spacing w:before="160" w:after="20"/>
        <w:pBdr>
          <w:bottom w:val="single" w:sz="12" w:space="1" w:color="C45C26"/>
        </w:pBdr>
      </w:pPr>
      <w:r>
        <w:rPr>
          <w:rFonts w:ascii="Calibri" w:hAnsi="Calibri"/>
          <w:b/>
          <w:color w:val="0F2744"/>
          <w:sz w:val="18"/>
        </w:rPr>
        <w:t>REFEREES</w:t>
      </w:r>
    </w:p>
    <w:p>
      <w:pPr>
        <w:spacing w:after="60"/>
      </w:pPr>
      <w:r>
        <w:rPr>
          <w:rFonts w:ascii="Calibri" w:hAnsi="Calibri"/>
          <w:b w:val="0"/>
          <w:color w:val="64748B"/>
          <w:sz w:val="20"/>
        </w:rPr>
        <w:t>Available upon request.</w:t>
      </w:r>
    </w:p>
    <w:sectPr w:rsidR="00FC693F" w:rsidRPr="0006063C" w:rsidSect="00034616">
      <w:pgSz w:w="12240" w:h="15840"/>
      <w:pgMar w:top="576" w:right="749" w:bottom="605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