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ICT Technician - Digital Workplace Services</w:t>
      </w:r>
    </w:p>
    <w:p>
      <w:pPr>
        <w:spacing w:after="20"/>
        <w:jc w:val="left"/>
      </w:pPr>
      <w:r>
        <w:rPr>
          <w:rFonts w:ascii="Calibri" w:hAnsi="Calibri"/>
          <w:color w:val="64748B"/>
          <w:sz w:val="16"/>
        </w:rPr>
        <w:t>Nairobi / 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p>
      <w:pPr>
        <w:spacing w:after="120" w:line="259" w:lineRule="auto"/>
      </w:pPr>
      <w:r>
        <w:rPr>
          <w:sz w:val="21"/>
        </w:rPr>
        <w:t>Dear Head of People and Culture,</w:t>
      </w:r>
    </w:p>
    <w:p>
      <w:pPr>
        <w:spacing w:after="120" w:line="259" w:lineRule="auto"/>
      </w:pPr>
      <w:r>
        <w:rPr>
          <w:sz w:val="21"/>
        </w:rPr>
        <w:t>Re: ICT Technician - Digital Workplace Services, REF: ICT-CS/2308-09/2026</w:t>
      </w:r>
    </w:p>
    <w:p>
      <w:pPr>
        <w:spacing w:after="120" w:line="259" w:lineRule="auto"/>
      </w:pPr>
      <w:r>
        <w:rPr>
          <w:sz w:val="21"/>
        </w:rPr>
        <w:t>I am a Kenyan national applying for the ICT Technician - Digital Workplace Services position at ILRI Nairobi. For about three years at PATH, a global health organisation running multi-site operations in Kenya, this has been my daily work: first-line and second-line digital workplace support for more than 120 users across Microsoft 365 (Teams, SharePoint Online, OneDrive, Outlook), Windows endpoints, Microsoft Entra ID and MFA, and onboarding. I hold availability near 98%, resolve incidents and service requests against agreed service levels on Freshdesk, escalate complex issues with the diagnostic evidence attached, and write the knowledge article afterwards.</w:t>
      </w:r>
    </w:p>
    <w:p>
      <w:pPr>
        <w:spacing w:after="120" w:line="259" w:lineRule="auto"/>
      </w:pPr>
      <w:r>
        <w:rPr>
          <w:sz w:val="21"/>
        </w:rPr>
        <w:t>On endpoints I handle the full lifecycle: provisioning and imaging, software deployment, patch management, security and compliance checks, preventive maintenance, asset recovery, and accurate ICT asset records. I deliver this with Microsoft imaging, group policy and deployment tooling, which is the equivalent endpoint management experience your Terms of Reference call for, and it is the same lifecycle Intune and Configuration Manager automate, so I move into either console quickly.</w:t>
      </w:r>
    </w:p>
    <w:p>
      <w:pPr>
        <w:spacing w:after="120" w:line="259" w:lineRule="auto"/>
      </w:pPr>
      <w:r>
        <w:rPr>
          <w:sz w:val="21"/>
        </w:rPr>
        <w:t>What I would bring beyond closing tickets is the part your Terms of Reference emphasises: adoption and improvement. I have trained more than 80 staff through orientation sessions and productivity demonstrations, written the guides and SOPs that stop repeat questions, and worked the causes behind recurring incidents instead of the symptoms. I support Teams meetings and workshop kit, and I would carry Microsoft Copilot and other approved AI-enabled workplace services the same way: orientation, clear guidance, and a feedback loop back to the team that owns the platform.</w:t>
      </w:r>
    </w:p>
    <w:p>
      <w:pPr>
        <w:spacing w:after="120" w:line="259" w:lineRule="auto"/>
      </w:pPr>
      <w:r>
        <w:rPr>
          <w:sz w:val="21"/>
        </w:rPr>
        <w:t>I hold a BSc in Applied Computing from KCA University and Microsoft Azure Fundamentals (AZ-900). I am available for Nairobi on this three-year HG12 contract and would welcome the chance to discuss how I can support ILRI's digital workplace.</w:t>
      </w:r>
    </w:p>
    <w:p>
      <w:pPr>
        <w:spacing w:after="120" w:line="259" w:lineRule="auto"/>
      </w:pPr>
      <w:r>
        <w:rPr>
          <w:sz w:val="21"/>
        </w:rPr>
        <w:t>Sincerely,</w:t>
      </w:r>
    </w:p>
    <w:p>
      <w:pPr>
        <w:spacing w:after="120" w:line="259" w:lineRule="auto"/>
      </w:pPr>
      <w:r>
        <w:rPr>
          <w:sz w:val="21"/>
        </w:rPr>
        <w:t>Meshack Ariri</w:t>
      </w: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