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jc w:val="left"/>
      </w:pPr>
      <w:r>
        <w:rPr>
          <w:rFonts w:ascii="Calibri" w:hAnsi="Calibri"/>
          <w:b/>
          <w:color w:val="0F2744"/>
          <w:sz w:val="44"/>
        </w:rPr>
        <w:t>MESHACK ARIRI</w:t>
      </w:r>
    </w:p>
    <w:p>
      <w:pPr>
        <w:spacing w:after="60"/>
        <w:jc w:val="left"/>
      </w:pPr>
      <w:r>
        <w:rPr>
          <w:rFonts w:ascii="Calibri" w:hAnsi="Calibri"/>
          <w:color w:val="3D4F63"/>
          <w:sz w:val="20"/>
        </w:rPr>
        <w:t>Technical Support Specialist  |  Cybersecurity and digital forensics  |  Service desk · 120+ users</w:t>
      </w:r>
    </w:p>
    <w:p>
      <w:pPr>
        <w:spacing w:after="20"/>
        <w:jc w:val="left"/>
      </w:pPr>
      <w:r>
        <w:rPr>
          <w:rFonts w:ascii="Calibri" w:hAnsi="Calibri"/>
          <w:color w:val="64748B"/>
          <w:sz w:val="16"/>
        </w:rPr>
        <w:t>Kisumu, Kenya</w:t>
      </w:r>
      <w:r>
        <w:rPr>
          <w:rFonts w:ascii="Calibri" w:hAnsi="Calibri"/>
          <w:color w:val="64748B"/>
          <w:sz w:val="16"/>
        </w:rPr>
        <w:t xml:space="preserve">  ·  </w:t>
      </w:r>
      <w:r>
        <w:rPr>
          <w:rFonts w:ascii="Calibri" w:hAnsi="Calibri"/>
          <w:color w:val="64748B"/>
          <w:sz w:val="16"/>
        </w:rPr>
        <w:t>+254 741 174 779</w:t>
      </w:r>
      <w:r>
        <w:rPr>
          <w:rFonts w:ascii="Calibri" w:hAnsi="Calibri"/>
          <w:color w:val="64748B"/>
          <w:sz w:val="16"/>
        </w:rPr>
        <w:t xml:space="preserve">  ·  </w:t>
      </w:r>
      <w:r>
        <w:rPr>
          <w:rFonts w:ascii="Calibri" w:hAnsi="Calibri"/>
          <w:color w:val="64748B"/>
          <w:sz w:val="16"/>
        </w:rPr>
        <w:t>aririmeshack@gmail.com</w:t>
      </w:r>
    </w:p>
    <w:p>
      <w:pPr>
        <w:spacing w:after="20"/>
        <w:jc w:val="left"/>
      </w:pPr>
      <w:r>
        <w:rPr>
          <w:rFonts w:ascii="Calibri" w:hAnsi="Calibri"/>
          <w:color w:val="64748B"/>
          <w:sz w:val="16"/>
        </w:rPr>
        <w:t>linkedin.com/in/meshack-ariri</w:t>
      </w:r>
      <w:r>
        <w:rPr>
          <w:rFonts w:ascii="Calibri" w:hAnsi="Calibri"/>
          <w:color w:val="64748B"/>
          <w:sz w:val="16"/>
        </w:rPr>
        <w:t xml:space="preserve">  ·  </w:t>
      </w:r>
      <w:r>
        <w:rPr>
          <w:rFonts w:ascii="Calibri" w:hAnsi="Calibri"/>
          <w:color w:val="64748B"/>
          <w:sz w:val="16"/>
        </w:rPr>
        <w:t>meshreallycodes.online</w:t>
      </w:r>
    </w:p>
    <w:p>
      <w:pPr>
        <w:spacing w:before="80" w:after="120"/>
        <w:pBdr>
          <w:bottom w:val="single" w:sz="18" w:space="1" w:color="C45C26"/>
        </w:pBdr>
      </w:pPr>
    </w:p>
    <w:tbl>
      <w:tblPr>
        <w:tblW w:type="auto" w:w="0"/>
        <w:tblLook w:firstColumn="1" w:firstRow="1" w:lastColumn="0" w:lastRow="0" w:noHBand="0" w:noVBand="1" w:val="04A0"/>
        <w:tblW w:w="10166" w:type="dxa"/>
        <w:tblBorders>
          <w:top w:val="nil"/>
          <w:left w:val="nil"/>
          <w:bottom w:val="nil"/>
          <w:right w:val="nil"/>
          <w:insideH w:val="nil"/>
          <w:insideV w:val="nil"/>
        </w:tblBorders>
      </w:tblPr>
      <w:tblGrid>
        <w:gridCol w:w="2685"/>
        <w:gridCol w:w="2685"/>
        <w:gridCol w:w="2685"/>
        <w:gridCol w:w="2685"/>
      </w:tblGrid>
      <w:tr>
        <w:tc>
          <w:tcPr>
            <w:tcW w:type="dxa" w:w="2685"/>
            <w:shd w:val="clear" w:color="auto" w:fill="F6EFE6"/>
          </w:tcPr>
          <w:p>
            <w:pPr>
              <w:spacing w:before="120" w:after="0"/>
              <w:jc w:val="center"/>
            </w:pPr>
            <w:r>
              <w:rPr>
                <w:rFonts w:ascii="Calibri" w:hAnsi="Calibri"/>
                <w:b/>
                <w:color w:val="C45C26"/>
                <w:sz w:val="24"/>
              </w:rPr>
              <w:t>120+</w:t>
            </w:r>
          </w:p>
          <w:p>
            <w:pPr>
              <w:spacing w:after="120"/>
              <w:jc w:val="center"/>
            </w:pPr>
            <w:r>
              <w:rPr>
                <w:rFonts w:ascii="Calibri" w:hAnsi="Calibri"/>
                <w:color w:val="64748B"/>
                <w:sz w:val="14"/>
              </w:rPr>
              <w:t>USERS SUPPORTED</w:t>
            </w:r>
          </w:p>
        </w:tc>
        <w:tc>
          <w:tcPr>
            <w:tcW w:type="dxa" w:w="2685"/>
            <w:shd w:val="clear" w:color="auto" w:fill="F6EFE6"/>
          </w:tcPr>
          <w:p>
            <w:pPr>
              <w:spacing w:before="120" w:after="0"/>
              <w:jc w:val="center"/>
            </w:pPr>
            <w:r>
              <w:rPr>
                <w:rFonts w:ascii="Calibri" w:hAnsi="Calibri"/>
                <w:b/>
                <w:color w:val="C45C26"/>
                <w:sz w:val="24"/>
              </w:rPr>
              <w:t>~98%</w:t>
            </w:r>
          </w:p>
          <w:p>
            <w:pPr>
              <w:spacing w:after="120"/>
              <w:jc w:val="center"/>
            </w:pPr>
            <w:r>
              <w:rPr>
                <w:rFonts w:ascii="Calibri" w:hAnsi="Calibri"/>
                <w:color w:val="64748B"/>
                <w:sz w:val="14"/>
              </w:rPr>
              <w:t>UPTIME HELD</w:t>
            </w:r>
          </w:p>
        </w:tc>
        <w:tc>
          <w:tcPr>
            <w:tcW w:type="dxa" w:w="2685"/>
            <w:shd w:val="clear" w:color="auto" w:fill="F6EFE6"/>
          </w:tcPr>
          <w:p>
            <w:pPr>
              <w:spacing w:before="120" w:after="0"/>
              <w:jc w:val="center"/>
            </w:pPr>
            <w:r>
              <w:rPr>
                <w:rFonts w:ascii="Calibri" w:hAnsi="Calibri"/>
                <w:b/>
                <w:color w:val="C45C26"/>
                <w:sz w:val="24"/>
              </w:rPr>
              <w:t>~25%</w:t>
            </w:r>
          </w:p>
          <w:p>
            <w:pPr>
              <w:spacing w:after="120"/>
              <w:jc w:val="center"/>
            </w:pPr>
            <w:r>
              <w:rPr>
                <w:rFonts w:ascii="Calibri" w:hAnsi="Calibri"/>
                <w:color w:val="64748B"/>
                <w:sz w:val="14"/>
              </w:rPr>
              <w:t>FASTER TICKETS</w:t>
            </w:r>
          </w:p>
        </w:tc>
        <w:tc>
          <w:tcPr>
            <w:tcW w:type="dxa" w:w="2685"/>
            <w:shd w:val="clear" w:color="auto" w:fill="F6EFE6"/>
          </w:tcPr>
          <w:p>
            <w:pPr>
              <w:spacing w:before="120" w:after="0"/>
              <w:jc w:val="center"/>
            </w:pPr>
            <w:r>
              <w:rPr>
                <w:rFonts w:ascii="Calibri" w:hAnsi="Calibri"/>
                <w:b/>
                <w:color w:val="C45C26"/>
                <w:sz w:val="24"/>
              </w:rPr>
              <w:t>80+</w:t>
            </w:r>
          </w:p>
          <w:p>
            <w:pPr>
              <w:spacing w:after="120"/>
              <w:jc w:val="center"/>
            </w:pPr>
            <w:r>
              <w:rPr>
                <w:rFonts w:ascii="Calibri" w:hAnsi="Calibri"/>
                <w:color w:val="64748B"/>
                <w:sz w:val="14"/>
              </w:rPr>
              <w:t>STAFF TRAINED</w:t>
            </w:r>
          </w:p>
        </w:tc>
      </w:tr>
    </w:tbl>
    <w:p>
      <w:pPr>
        <w:spacing w:after="80"/>
      </w:pPr>
    </w:p>
    <w:p>
      <w:pPr>
        <w:spacing w:before="160" w:after="20"/>
        <w:pBdr>
          <w:bottom w:val="single" w:sz="12" w:space="1" w:color="C45C26"/>
        </w:pBdr>
      </w:pPr>
      <w:r>
        <w:rPr>
          <w:rFonts w:ascii="Calibri" w:hAnsi="Calibri"/>
          <w:b/>
          <w:color w:val="0F2744"/>
          <w:sz w:val="18"/>
        </w:rPr>
        <w:t>PROFILE</w:t>
      </w:r>
    </w:p>
    <w:p>
      <w:pPr>
        <w:spacing w:after="120"/>
      </w:pPr>
      <w:r>
        <w:rPr>
          <w:rFonts w:ascii="Calibri" w:hAnsi="Calibri"/>
          <w:b w:val="0"/>
          <w:color w:val="1E293B"/>
          <w:sz w:val="20"/>
        </w:rPr>
        <w:t>Technical support specialist with three years at PATH, a BSc in Applied Computing, and a specialisation in cybersecurity and digital forensics. I own first and second line for more than 120 users, keep clinical systems above 98 percent uptime, and cut a monthly reporting grind by about 40 percent with SQL and Python. I work Freshdesk and Zoho Desk under ITIL and SLA. I isolate whether a fault is the account, the device, the network, or the application, then I write a note the next person can use.</w:t>
      </w:r>
    </w:p>
    <w:tbl>
      <w:tblPr>
        <w:tblW w:type="auto" w:w="0"/>
        <w:tblLook w:firstColumn="1" w:firstRow="1" w:lastColumn="0" w:lastRow="0" w:noHBand="0" w:noVBand="1" w:val="04A0"/>
        <w:tblW w:w="10166" w:type="dxa"/>
        <w:tblBorders>
          <w:top w:val="nil"/>
          <w:left w:val="nil"/>
          <w:bottom w:val="nil"/>
          <w:right w:val="nil"/>
          <w:insideH w:val="nil"/>
          <w:insideV w:val="nil"/>
        </w:tblBorders>
      </w:tblPr>
      <w:tblGrid>
        <w:gridCol w:w="5371"/>
        <w:gridCol w:w="5371"/>
      </w:tblGrid>
      <w:tr>
        <w:tc>
          <w:tcPr>
            <w:tcW w:type="dxa" w:w="173"/>
            <w:shd w:val="clear" w:color="auto" w:fill="C45C26"/>
          </w:tcPr>
          <w:p/>
        </w:tc>
        <w:tc>
          <w:tcPr>
            <w:tcW w:type="dxa" w:w="9994"/>
            <w:shd w:val="clear" w:color="auto" w:fill="FBF7F2"/>
          </w:tcPr>
          <w:p>
            <w:pPr>
              <w:spacing w:before="20" w:after="20"/>
            </w:pPr>
            <w:r>
              <w:rPr>
                <w:rFonts w:ascii="Calibri" w:hAnsi="Calibri"/>
                <w:b/>
                <w:color w:val="C45C26"/>
                <w:sz w:val="17"/>
              </w:rPr>
              <w:t xml:space="preserve">Service desk  </w:t>
            </w:r>
            <w:r>
              <w:rPr>
                <w:rFonts w:ascii="Calibri" w:hAnsi="Calibri"/>
                <w:color w:val="1E293B"/>
                <w:sz w:val="17"/>
              </w:rPr>
              <w:t>First and second line, Freshdesk, Zoho Desk, Jira Service Management, ITIL, SLA, knowledge base, 20+ tickets a day</w:t>
            </w:r>
          </w:p>
          <w:p>
            <w:pPr>
              <w:spacing w:before="20" w:after="20"/>
            </w:pPr>
            <w:r>
              <w:rPr>
                <w:rFonts w:ascii="Calibri" w:hAnsi="Calibri"/>
                <w:b/>
                <w:color w:val="C45C26"/>
                <w:sz w:val="17"/>
              </w:rPr>
              <w:t xml:space="preserve">Product diagnostics  </w:t>
            </w:r>
            <w:r>
              <w:rPr>
                <w:rFonts w:ascii="Calibri" w:hAnsi="Calibri"/>
                <w:color w:val="1E293B"/>
                <w:sz w:val="17"/>
              </w:rPr>
              <w:t>Reproduce the fault, read logs and REST payloads, SQL checks, Grafana, clean handoff to Engineering</w:t>
            </w:r>
          </w:p>
          <w:p>
            <w:pPr>
              <w:spacing w:before="20" w:after="20"/>
            </w:pPr>
            <w:r>
              <w:rPr>
                <w:rFonts w:ascii="Calibri" w:hAnsi="Calibri"/>
                <w:b/>
                <w:color w:val="C45C26"/>
                <w:sz w:val="17"/>
              </w:rPr>
              <w:t xml:space="preserve">Identity and endpoints  </w:t>
            </w:r>
            <w:r>
              <w:rPr>
                <w:rFonts w:ascii="Calibri" w:hAnsi="Calibri"/>
                <w:color w:val="1E293B"/>
                <w:sz w:val="17"/>
              </w:rPr>
              <w:t>Active Directory, Microsoft 365, Windows 10 and 11, MFA, imaging, printers, VoIP and 3CX, Salesforce tickets</w:t>
            </w:r>
          </w:p>
          <w:p>
            <w:pPr>
              <w:spacing w:before="20" w:after="20"/>
            </w:pPr>
            <w:r>
              <w:rPr>
                <w:rFonts w:ascii="Calibri" w:hAnsi="Calibri"/>
                <w:b/>
                <w:color w:val="C45C26"/>
                <w:sz w:val="17"/>
              </w:rPr>
              <w:t xml:space="preserve">Networking  </w:t>
            </w:r>
            <w:r>
              <w:rPr>
                <w:rFonts w:ascii="Calibri" w:hAnsi="Calibri"/>
                <w:color w:val="1E293B"/>
                <w:sz w:val="17"/>
              </w:rPr>
              <w:t>LAN, WAN, VPN, DNS, DHCP, Cisco Meraki, MikroTik, Wi-Fi. CCNA.</w:t>
            </w:r>
          </w:p>
          <w:p>
            <w:pPr>
              <w:spacing w:before="20" w:after="20"/>
            </w:pPr>
            <w:r>
              <w:rPr>
                <w:rFonts w:ascii="Calibri" w:hAnsi="Calibri"/>
                <w:b/>
                <w:color w:val="C45C26"/>
                <w:sz w:val="17"/>
              </w:rPr>
              <w:t xml:space="preserve">Security  </w:t>
            </w:r>
            <w:r>
              <w:rPr>
                <w:rFonts w:ascii="Calibri" w:hAnsi="Calibri"/>
                <w:color w:val="1E293B"/>
                <w:sz w:val="17"/>
              </w:rPr>
              <w:t>Cybersecurity and digital forensics specialisation. Awareness training, access control, vulnerability reporting. Hackathons with CA Kenya and Huawei. Cyber Shujaa programme.</w:t>
            </w:r>
          </w:p>
        </w:tc>
      </w:tr>
    </w:tbl>
    <w:p>
      <w:pPr>
        <w:spacing w:after="80"/>
      </w:pPr>
    </w:p>
    <w:p>
      <w:pPr>
        <w:spacing w:before="160" w:after="20"/>
        <w:pBdr>
          <w:bottom w:val="single" w:sz="12" w:space="1" w:color="C45C26"/>
        </w:pBdr>
      </w:pPr>
      <w:r>
        <w:rPr>
          <w:rFonts w:ascii="Calibri" w:hAnsi="Calibri"/>
          <w:b/>
          <w:color w:val="0F2744"/>
          <w:sz w:val="18"/>
        </w:rPr>
        <w:t>EXPERIENCE</w:t>
      </w:r>
    </w:p>
    <w:p>
      <w:pPr>
        <w:tabs>
          <w:tab w:pos="10008" w:val="decimal"/>
        </w:tabs>
        <w:spacing w:before="120" w:after="0"/>
      </w:pPr>
      <w:r>
        <w:rPr>
          <w:rFonts w:ascii="Calibri" w:hAnsi="Calibri"/>
          <w:b/>
          <w:color w:val="C45C26"/>
          <w:sz w:val="20"/>
        </w:rPr>
        <w:t>Health Informatics / HMIS Officer</w:t>
      </w:r>
      <w:r>
        <w:tab/>
      </w:r>
      <w:r>
        <w:rPr>
          <w:rFonts w:ascii="Calibri" w:hAnsi="Calibri"/>
          <w:color w:val="64748B"/>
          <w:sz w:val="17"/>
        </w:rPr>
        <w:t>Mar 2025 to Present</w:t>
      </w:r>
    </w:p>
    <w:p>
      <w:pPr>
        <w:spacing w:after="40"/>
        <w:ind w:left="86"/>
      </w:pPr>
      <w:r>
        <w:rPr>
          <w:rFonts w:ascii="Calibri" w:hAnsi="Calibri"/>
          <w:i/>
          <w:color w:val="64748B"/>
          <w:sz w:val="18"/>
        </w:rPr>
        <w:t>PATH</w:t>
      </w:r>
      <w:r>
        <w:rPr>
          <w:rFonts w:ascii="Calibri" w:hAnsi="Calibri"/>
          <w:color w:val="E8C4A8"/>
          <w:sz w:val="18"/>
        </w:rPr>
        <w:t xml:space="preserve">   |   </w:t>
      </w:r>
      <w:r>
        <w:rPr>
          <w:rFonts w:ascii="Calibri" w:hAnsi="Calibri"/>
          <w:i/>
          <w:color w:val="64748B"/>
          <w:sz w:val="18"/>
        </w:rPr>
        <w:t>Kisumu and Nyamira, Kenya (hybrid)</w:t>
      </w:r>
    </w:p>
    <w:p>
      <w:pPr>
        <w:spacing w:after="40" w:line="259" w:lineRule="auto"/>
        <w:ind w:left="317"/>
      </w:pPr>
      <w:r>
        <w:rPr>
          <w:rFonts w:ascii="Calibri" w:hAnsi="Calibri"/>
          <w:b/>
          <w:color w:val="C45C26"/>
        </w:rPr>
        <w:t xml:space="preserve">▪  </w:t>
      </w:r>
      <w:r>
        <w:rPr>
          <w:rFonts w:ascii="Calibri" w:hAnsi="Calibri"/>
          <w:color w:val="1E293B"/>
          <w:sz w:val="18"/>
        </w:rPr>
        <w:t>Owned the tickets that leave the article: KenyaEMR, DHIS2, accounts, devices, and the joins between laboratory, pharmacy, and reporting. Services stayed above 98 percent uptime.</w:t>
      </w:r>
    </w:p>
    <w:p>
      <w:pPr>
        <w:spacing w:after="40" w:line="259" w:lineRule="auto"/>
        <w:ind w:left="317"/>
      </w:pPr>
      <w:r>
        <w:rPr>
          <w:rFonts w:ascii="Calibri" w:hAnsi="Calibri"/>
          <w:b/>
          <w:color w:val="C45C26"/>
        </w:rPr>
        <w:t xml:space="preserve">▪  </w:t>
      </w:r>
      <w:r>
        <w:rPr>
          <w:rFonts w:ascii="Calibri" w:hAnsi="Calibri"/>
          <w:color w:val="1E293B"/>
          <w:sz w:val="18"/>
        </w:rPr>
        <w:t>Reproduced faults before escalating. Read the logs, the SQL, and the API payload, then named whether the break was identity, endpoint, network, or the application. Engineering got a defect, not a feeling.</w:t>
      </w:r>
    </w:p>
    <w:p>
      <w:pPr>
        <w:spacing w:after="40" w:line="259" w:lineRule="auto"/>
        <w:ind w:left="317"/>
      </w:pPr>
      <w:r>
        <w:rPr>
          <w:rFonts w:ascii="Calibri" w:hAnsi="Calibri"/>
          <w:b/>
          <w:color w:val="C45C26"/>
        </w:rPr>
        <w:t xml:space="preserve">▪  </w:t>
      </w:r>
      <w:r>
        <w:rPr>
          <w:rFonts w:ascii="Calibri" w:hAnsi="Calibri"/>
          <w:color w:val="1E293B"/>
          <w:sz w:val="18"/>
        </w:rPr>
        <w:t>Built SQL and Python checks that cut a monthly reporting job by about 40 percent, the same habit I use to stop the same support ticket coming back every week.</w:t>
      </w:r>
    </w:p>
    <w:p>
      <w:pPr>
        <w:spacing w:after="40" w:line="259" w:lineRule="auto"/>
        <w:ind w:left="317"/>
      </w:pPr>
      <w:r>
        <w:rPr>
          <w:rFonts w:ascii="Calibri" w:hAnsi="Calibri"/>
          <w:b/>
          <w:color w:val="C45C26"/>
        </w:rPr>
        <w:t xml:space="preserve">▪  </w:t>
      </w:r>
      <w:r>
        <w:rPr>
          <w:rFonts w:ascii="Calibri" w:hAnsi="Calibri"/>
          <w:color w:val="1E293B"/>
          <w:sz w:val="18"/>
        </w:rPr>
        <w:t>Trained more than 80 staff and wrote the SOP so a fix does not live only in my head.</w:t>
      </w:r>
    </w:p>
    <w:p>
      <w:pPr>
        <w:tabs>
          <w:tab w:pos="10008" w:val="decimal"/>
        </w:tabs>
        <w:spacing w:before="120" w:after="0"/>
      </w:pPr>
      <w:r>
        <w:rPr>
          <w:rFonts w:ascii="Calibri" w:hAnsi="Calibri"/>
          <w:b/>
          <w:color w:val="C45C26"/>
          <w:sz w:val="20"/>
        </w:rPr>
        <w:t>ICT Associate</w:t>
      </w:r>
      <w:r>
        <w:tab/>
      </w:r>
      <w:r>
        <w:rPr>
          <w:rFonts w:ascii="Calibri" w:hAnsi="Calibri"/>
          <w:color w:val="64748B"/>
          <w:sz w:val="17"/>
        </w:rPr>
        <w:t>Jan 2024 to Mar 2025</w:t>
      </w:r>
    </w:p>
    <w:p>
      <w:pPr>
        <w:spacing w:after="40"/>
        <w:ind w:left="86"/>
      </w:pPr>
      <w:r>
        <w:rPr>
          <w:rFonts w:ascii="Calibri" w:hAnsi="Calibri"/>
          <w:i/>
          <w:color w:val="64748B"/>
          <w:sz w:val="18"/>
        </w:rPr>
        <w:t>PATH</w:t>
      </w:r>
      <w:r>
        <w:rPr>
          <w:rFonts w:ascii="Calibri" w:hAnsi="Calibri"/>
          <w:color w:val="E8C4A8"/>
          <w:sz w:val="18"/>
        </w:rPr>
        <w:t xml:space="preserve">   |   </w:t>
      </w:r>
      <w:r>
        <w:rPr>
          <w:rFonts w:ascii="Calibri" w:hAnsi="Calibri"/>
          <w:i/>
          <w:color w:val="64748B"/>
          <w:sz w:val="18"/>
        </w:rPr>
        <w:t>Kisumu, Kenya</w:t>
      </w:r>
    </w:p>
    <w:p>
      <w:pPr>
        <w:spacing w:after="40" w:line="259" w:lineRule="auto"/>
        <w:ind w:left="317"/>
      </w:pPr>
      <w:r>
        <w:rPr>
          <w:rFonts w:ascii="Calibri" w:hAnsi="Calibri"/>
          <w:b/>
          <w:color w:val="C45C26"/>
        </w:rPr>
        <w:t xml:space="preserve">▪  </w:t>
      </w:r>
      <w:r>
        <w:rPr>
          <w:rFonts w:ascii="Calibri" w:hAnsi="Calibri"/>
          <w:color w:val="1E293B"/>
          <w:sz w:val="18"/>
        </w:rPr>
        <w:t>Ran first and second line for more than 120 users across sites, often more than 20 tickets a day. Uptime stayed around 98 percent. Response time improved about 25 percent once the queue had a real path.</w:t>
      </w:r>
    </w:p>
    <w:p>
      <w:pPr>
        <w:spacing w:after="40" w:line="259" w:lineRule="auto"/>
        <w:ind w:left="317"/>
      </w:pPr>
      <w:r>
        <w:rPr>
          <w:rFonts w:ascii="Calibri" w:hAnsi="Calibri"/>
          <w:b/>
          <w:color w:val="C45C26"/>
        </w:rPr>
        <w:t xml:space="preserve">▪  </w:t>
      </w:r>
      <w:r>
        <w:rPr>
          <w:rFonts w:ascii="Calibri" w:hAnsi="Calibri"/>
          <w:color w:val="1E293B"/>
          <w:sz w:val="18"/>
        </w:rPr>
        <w:t>Closed login, MFA, Microsoft 365, Windows, printer, VoIP, and Salesforce access tickets in Freshdesk and Zoho Desk. Administered Active Directory with least privilege. Diagnosed LAN, WAN, VPN, DNS, and DHCP on Cisco Meraki.</w:t>
      </w:r>
    </w:p>
    <w:p>
      <w:pPr>
        <w:spacing w:after="40" w:line="259" w:lineRule="auto"/>
        <w:ind w:left="317"/>
      </w:pPr>
      <w:r>
        <w:rPr>
          <w:rFonts w:ascii="Calibri" w:hAnsi="Calibri"/>
          <w:b/>
          <w:color w:val="C45C26"/>
        </w:rPr>
        <w:t xml:space="preserve">▪  </w:t>
      </w:r>
      <w:r>
        <w:rPr>
          <w:rFonts w:ascii="Calibri" w:hAnsi="Calibri"/>
          <w:color w:val="1E293B"/>
          <w:sz w:val="18"/>
        </w:rPr>
        <w:t>Turned repeat fixes into knowledge-base articles. Supported OVC and DREAMS in the field as the ICT person. Ran digital and manual MIS for PATH ECD until that workstream closed in 2025.</w:t>
      </w:r>
    </w:p>
    <w:p>
      <w:pPr>
        <w:tabs>
          <w:tab w:pos="10008" w:val="decimal"/>
        </w:tabs>
        <w:spacing w:before="120" w:after="0"/>
      </w:pPr>
      <w:r>
        <w:rPr>
          <w:rFonts w:ascii="Calibri" w:hAnsi="Calibri"/>
          <w:b/>
          <w:color w:val="C45C26"/>
          <w:sz w:val="20"/>
        </w:rPr>
        <w:t>Remote IT support and platform operations</w:t>
      </w:r>
      <w:r>
        <w:tab/>
      </w:r>
      <w:r>
        <w:rPr>
          <w:rFonts w:ascii="Calibri" w:hAnsi="Calibri"/>
          <w:color w:val="64748B"/>
          <w:sz w:val="17"/>
        </w:rPr>
        <w:t>2023 to Present</w:t>
      </w:r>
    </w:p>
    <w:p>
      <w:pPr>
        <w:spacing w:after="40"/>
        <w:ind w:left="86"/>
      </w:pPr>
      <w:r>
        <w:rPr>
          <w:rFonts w:ascii="Calibri" w:hAnsi="Calibri"/>
          <w:i/>
          <w:color w:val="64748B"/>
          <w:sz w:val="18"/>
        </w:rPr>
        <w:t>Independent</w:t>
      </w:r>
      <w:r>
        <w:rPr>
          <w:rFonts w:ascii="Calibri" w:hAnsi="Calibri"/>
          <w:color w:val="E8C4A8"/>
          <w:sz w:val="18"/>
        </w:rPr>
        <w:t xml:space="preserve">   |   </w:t>
      </w:r>
      <w:r>
        <w:rPr>
          <w:rFonts w:ascii="Calibri" w:hAnsi="Calibri"/>
          <w:i/>
          <w:color w:val="64748B"/>
          <w:sz w:val="18"/>
        </w:rPr>
        <w:t>Remote (project-based, alongside PATH)</w:t>
      </w:r>
    </w:p>
    <w:p>
      <w:pPr>
        <w:spacing w:after="40" w:line="259" w:lineRule="auto"/>
        <w:ind w:left="317"/>
      </w:pPr>
      <w:r>
        <w:rPr>
          <w:rFonts w:ascii="Calibri" w:hAnsi="Calibri"/>
          <w:b/>
          <w:color w:val="C45C26"/>
        </w:rPr>
        <w:t xml:space="preserve">▪  </w:t>
      </w:r>
      <w:r>
        <w:rPr>
          <w:rFonts w:ascii="Calibri" w:hAnsi="Calibri"/>
          <w:color w:val="1E293B"/>
          <w:sz w:val="18"/>
        </w:rPr>
        <w:t>Supported small teams on Microsoft 365, Google Workspace, and onboarding, remotely, with the same ticket discipline I use at PATH.</w:t>
      </w:r>
    </w:p>
    <w:p>
      <w:pPr>
        <w:spacing w:after="40" w:line="259" w:lineRule="auto"/>
        <w:ind w:left="317"/>
      </w:pPr>
      <w:r>
        <w:rPr>
          <w:rFonts w:ascii="Calibri" w:hAnsi="Calibri"/>
          <w:b/>
          <w:color w:val="C45C26"/>
        </w:rPr>
        <w:t xml:space="preserve">▪  </w:t>
      </w:r>
      <w:r>
        <w:rPr>
          <w:rFonts w:ascii="Calibri" w:hAnsi="Calibri"/>
          <w:color w:val="1E293B"/>
          <w:sz w:val="18"/>
        </w:rPr>
        <w:t>Built an operations platform used to prove a product defect: Next.js, TypeScript, MySQL, more than 40 REST APIs, an incident module, and Grafana-style dashboards.</w:t>
      </w:r>
    </w:p>
    <w:tbl>
      <w:tblPr>
        <w:tblW w:type="auto" w:w="0"/>
        <w:tblLook w:firstColumn="1" w:firstRow="1" w:lastColumn="0" w:lastRow="0" w:noHBand="0" w:noVBand="1" w:val="04A0"/>
        <w:tblW w:w="10166" w:type="dxa"/>
        <w:tblBorders>
          <w:top w:val="nil"/>
          <w:left w:val="nil"/>
          <w:bottom w:val="nil"/>
          <w:right w:val="nil"/>
          <w:insideH w:val="nil"/>
          <w:insideV w:val="nil"/>
        </w:tblBorders>
      </w:tblPr>
      <w:tblGrid>
        <w:gridCol w:w="173"/>
        <w:gridCol w:w="1699"/>
        <w:gridCol w:w="8294"/>
      </w:tblGrid>
      <w:tr>
        <w:tc>
          <w:tcPr>
            <w:tcW w:type="dxa" w:w="3581"/>
            <w:vMerge w:val="restart"/>
            <w:shd w:val="clear" w:color="auto" w:fill="C45C26"/>
          </w:tcPr>
          <w:p/>
        </w:tc>
        <w:tc>
          <w:tcPr>
            <w:tcW w:type="dxa" w:w="3581"/>
            <w:shd w:val="clear" w:color="auto" w:fill="FBF7F2"/>
          </w:tcPr>
          <w:p>
            <w:pPr>
              <w:spacing w:before="100" w:after="80"/>
              <w:jc w:val="right"/>
            </w:pPr>
            <w:r>
              <w:rPr>
                <w:rFonts w:ascii="Calibri" w:hAnsi="Calibri"/>
                <w:b/>
                <w:color w:val="C45C26"/>
                <w:sz w:val="14"/>
              </w:rPr>
              <w:t>EDUCATION</w:t>
            </w:r>
          </w:p>
        </w:tc>
        <w:tc>
          <w:tcPr>
            <w:tcW w:type="dxa" w:w="3581"/>
            <w:shd w:val="clear" w:color="auto" w:fill="FBF7F2"/>
          </w:tcPr>
          <w:p>
            <w:pPr>
              <w:spacing w:before="40" w:after="40"/>
            </w:pPr>
            <w:r>
              <w:rPr>
                <w:rFonts w:ascii="Calibri" w:hAnsi="Calibri"/>
                <w:b/>
                <w:color w:val="0F2744"/>
                <w:sz w:val="20"/>
              </w:rPr>
              <w:t>BSc, Applied Computing  ·  KCA University, Nairobi  ·  November 2023</w:t>
            </w:r>
          </w:p>
          <w:p>
            <w:pPr>
              <w:spacing w:before="40" w:after="40"/>
            </w:pPr>
            <w:r>
              <w:rPr>
                <w:rFonts w:ascii="Calibri" w:hAnsi="Calibri"/>
                <w:b w:val="0"/>
                <w:color w:val="64748B"/>
                <w:sz w:val="16"/>
              </w:rPr>
              <w:t>Cybersecurity and Digital Forensics. Coursework: Ethical Hacking, Digital Forensics, Data Protection, Cloud Computing.</w:t>
            </w:r>
          </w:p>
        </w:tc>
      </w:tr>
      <w:tr>
        <w:tc>
          <w:tcPr>
            <w:tcW w:type="dxa" w:w="3581"/>
            <w:vMerge/>
          </w:tcPr>
          <w:p/>
        </w:tc>
        <w:tc>
          <w:tcPr>
            <w:tcW w:type="dxa" w:w="3581"/>
            <w:shd w:val="clear" w:color="auto" w:fill="FBF7F2"/>
          </w:tcPr>
          <w:p>
            <w:pPr>
              <w:spacing w:before="100" w:after="80"/>
              <w:jc w:val="right"/>
            </w:pPr>
            <w:r>
              <w:rPr>
                <w:rFonts w:ascii="Calibri" w:hAnsi="Calibri"/>
                <w:b/>
                <w:color w:val="C45C26"/>
                <w:sz w:val="14"/>
              </w:rPr>
              <w:t>CERTIFICATIONS</w:t>
            </w:r>
          </w:p>
        </w:tc>
        <w:tc>
          <w:tcPr>
            <w:tcW w:type="dxa" w:w="3581"/>
            <w:shd w:val="clear" w:color="auto" w:fill="FBF7F2"/>
          </w:tcPr>
          <w:p>
            <w:pPr>
              <w:spacing w:before="40" w:after="40"/>
            </w:pPr>
            <w:r>
              <w:rPr>
                <w:rFonts w:ascii="Calibri" w:hAnsi="Calibri"/>
                <w:b w:val="0"/>
                <w:color w:val="1E293B"/>
                <w:sz w:val="18"/>
              </w:rPr>
              <w:t>Google IT Support  ·  IBM Technical Support  ·  AZ-900  ·  CCNA  ·  GitHub Professional  ·  Microsoft Data Analysis  ·  Cyberise (CA Kenya and Huawei, 2022)  ·  Cyber Rise (Huawei, 2023)  ·  NRF Cybersecurity Challenge (2024)  ·  Blockchain Security (CP Hub, 2024)  ·  KCA Innovation Weeks  ·  Cyber Shujaa programme</w:t>
            </w:r>
          </w:p>
        </w:tc>
      </w:tr>
    </w:tbl>
    <w:p>
      <w:pPr>
        <w:spacing w:before="120" w:after="40"/>
      </w:pPr>
    </w:p>
    <w:sectPr w:rsidR="00FC693F" w:rsidRPr="0006063C" w:rsidSect="00034616">
      <w:pgSz w:w="12240" w:h="15840"/>
      <w:pgMar w:top="576" w:right="749" w:bottom="605"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