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Tier 3 IT Support and NOC Engineer  |  Networks, infrastructure, monitoring and RCA  |  24x7</w:t>
      </w:r>
    </w:p>
    <w:p>
      <w:pPr>
        <w:spacing w:after="20"/>
        <w:jc w:val="left"/>
      </w:pPr>
      <w:r>
        <w:rPr>
          <w:rFonts w:ascii="Calibri" w:hAnsi="Calibri"/>
          <w:color w:val="64748B"/>
          <w:sz w:val="16"/>
        </w:rPr>
        <w:t>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2685"/>
        <w:gridCol w:w="2685"/>
        <w:gridCol w:w="2685"/>
        <w:gridCol w:w="2685"/>
      </w:tblGrid>
      <w:tr>
        <w:tc>
          <w:tcPr>
            <w:tcW w:type="dxa" w:w="2685"/>
            <w:shd w:val="clear" w:color="auto" w:fill="F6EFE6"/>
          </w:tcPr>
          <w:p>
            <w:pPr>
              <w:spacing w:before="120" w:after="0"/>
              <w:jc w:val="center"/>
            </w:pPr>
            <w:r>
              <w:rPr>
                <w:rFonts w:ascii="Calibri" w:hAnsi="Calibri"/>
                <w:b/>
                <w:color w:val="C45C26"/>
                <w:sz w:val="24"/>
              </w:rPr>
              <w:t>120+</w:t>
            </w:r>
          </w:p>
          <w:p>
            <w:pPr>
              <w:spacing w:after="120"/>
              <w:jc w:val="center"/>
            </w:pPr>
            <w:r>
              <w:rPr>
                <w:rFonts w:ascii="Calibri" w:hAnsi="Calibri"/>
                <w:color w:val="64748B"/>
                <w:sz w:val="14"/>
              </w:rPr>
              <w:t>USERS / SITES</w:t>
            </w:r>
          </w:p>
        </w:tc>
        <w:tc>
          <w:tcPr>
            <w:tcW w:type="dxa" w:w="2685"/>
            <w:shd w:val="clear" w:color="auto" w:fill="F6EFE6"/>
          </w:tcPr>
          <w:p>
            <w:pPr>
              <w:spacing w:before="120" w:after="0"/>
              <w:jc w:val="center"/>
            </w:pPr>
            <w:r>
              <w:rPr>
                <w:rFonts w:ascii="Calibri" w:hAnsi="Calibri"/>
                <w:b/>
                <w:color w:val="C45C26"/>
                <w:sz w:val="24"/>
              </w:rPr>
              <w:t>~98%</w:t>
            </w:r>
          </w:p>
          <w:p>
            <w:pPr>
              <w:spacing w:after="120"/>
              <w:jc w:val="center"/>
            </w:pPr>
            <w:r>
              <w:rPr>
                <w:rFonts w:ascii="Calibri" w:hAnsi="Calibri"/>
                <w:color w:val="64748B"/>
                <w:sz w:val="14"/>
              </w:rPr>
              <w:t>UPTIME</w:t>
            </w:r>
          </w:p>
        </w:tc>
        <w:tc>
          <w:tcPr>
            <w:tcW w:type="dxa" w:w="2685"/>
            <w:shd w:val="clear" w:color="auto" w:fill="F6EFE6"/>
          </w:tcPr>
          <w:p>
            <w:pPr>
              <w:spacing w:before="120" w:after="0"/>
              <w:jc w:val="center"/>
            </w:pPr>
            <w:r>
              <w:rPr>
                <w:rFonts w:ascii="Calibri" w:hAnsi="Calibri"/>
                <w:b/>
                <w:color w:val="C45C26"/>
                <w:sz w:val="24"/>
              </w:rPr>
              <w:t>Tier 3</w:t>
            </w:r>
          </w:p>
          <w:p>
            <w:pPr>
              <w:spacing w:after="120"/>
              <w:jc w:val="center"/>
            </w:pPr>
            <w:r>
              <w:rPr>
                <w:rFonts w:ascii="Calibri" w:hAnsi="Calibri"/>
                <w:color w:val="64748B"/>
                <w:sz w:val="14"/>
              </w:rPr>
              <w:t>ESCALATION / RCA</w:t>
            </w:r>
          </w:p>
        </w:tc>
        <w:tc>
          <w:tcPr>
            <w:tcW w:type="dxa" w:w="2685"/>
            <w:shd w:val="clear" w:color="auto" w:fill="F6EFE6"/>
          </w:tcPr>
          <w:p>
            <w:pPr>
              <w:spacing w:before="120" w:after="0"/>
              <w:jc w:val="center"/>
            </w:pPr>
            <w:r>
              <w:rPr>
                <w:rFonts w:ascii="Calibri" w:hAnsi="Calibri"/>
                <w:b/>
                <w:color w:val="C45C26"/>
                <w:sz w:val="24"/>
              </w:rPr>
              <w:t>24x7</w:t>
            </w:r>
          </w:p>
          <w:p>
            <w:pPr>
              <w:spacing w:after="120"/>
              <w:jc w:val="center"/>
            </w:pPr>
            <w:r>
              <w:rPr>
                <w:rFonts w:ascii="Calibri" w:hAnsi="Calibri"/>
                <w:color w:val="64748B"/>
                <w:sz w:val="14"/>
              </w:rPr>
              <w:t>ON-CALL READY</w:t>
            </w:r>
          </w:p>
        </w:tc>
      </w:tr>
    </w:tbl>
    <w:p>
      <w:pPr>
        <w:spacing w:after="80"/>
      </w:pPr>
    </w:p>
    <w:p>
      <w:pPr>
        <w:spacing w:before="160" w:after="20"/>
        <w:pBdr>
          <w:bottom w:val="single" w:sz="12" w:space="1" w:color="C45C26"/>
        </w:pBdr>
      </w:pPr>
      <w:r>
        <w:rPr>
          <w:rFonts w:ascii="Calibri" w:hAnsi="Calibri"/>
          <w:b/>
          <w:color w:val="0F2744"/>
          <w:sz w:val="18"/>
        </w:rPr>
        <w:t>PROFILE</w:t>
      </w:r>
    </w:p>
    <w:p>
      <w:pPr>
        <w:spacing w:after="120"/>
      </w:pPr>
      <w:r>
        <w:rPr>
          <w:rFonts w:ascii="Calibri" w:hAnsi="Calibri"/>
          <w:b w:val="0"/>
          <w:color w:val="1E293B"/>
          <w:sz w:val="20"/>
        </w:rPr>
        <w:t>Tier 3 IT Support and NOC Engineer for a global organisation's Kenya operation: the escalation point when Tier 1 and Tier 2 cannot close it. I monitor infrastructure, isolate whether the fault is routing, switching, identity, endpoint, or the WAN, then I fix it, write the RCA, and change the config so it does not return. SolarWinds, PRTG, Nagios, Zabbix, Cosmos, Grafana. Cisco, Meraki, Ruckus, Aruba, Fortinet, Cisco ASA, WatchGuard. BGP, OSPF, EIGRP, STP, SD-WAN, MPLS, wireless. Wireshark and tcpdump. Microsoft 365, Azure/Entra ID, Active Directory, Windows and macOS. PowerShell and RMM. SIEM/EDR. Diagrams, SOPs, vendors, field technicians. Available for 24x7 operations and on-call.</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5371"/>
        <w:gridCol w:w="5371"/>
      </w:tblGrid>
      <w:tr>
        <w:tc>
          <w:tcPr>
            <w:tcW w:type="dxa" w:w="173"/>
            <w:shd w:val="clear" w:color="auto" w:fill="C45C26"/>
          </w:tcPr>
          <w:p/>
        </w:tc>
        <w:tc>
          <w:tcPr>
            <w:tcW w:type="dxa" w:w="9994"/>
            <w:shd w:val="clear" w:color="auto" w:fill="FBF7F2"/>
          </w:tcPr>
          <w:p>
            <w:pPr>
              <w:spacing w:before="20" w:after="20"/>
            </w:pPr>
            <w:r>
              <w:rPr>
                <w:rFonts w:ascii="Calibri" w:hAnsi="Calibri"/>
                <w:b/>
                <w:color w:val="C45C26"/>
                <w:sz w:val="17"/>
              </w:rPr>
              <w:t xml:space="preserve">NOC / monitoring  </w:t>
            </w:r>
            <w:r>
              <w:rPr>
                <w:rFonts w:ascii="Calibri" w:hAnsi="Calibri"/>
                <w:color w:val="1E293B"/>
                <w:sz w:val="17"/>
              </w:rPr>
              <w:t>SolarWinds, PRTG, Nagios, Zabbix, Cosmos, Grafana; alert triage, capacity, incident dashboards</w:t>
            </w:r>
          </w:p>
          <w:p>
            <w:pPr>
              <w:spacing w:before="20" w:after="20"/>
            </w:pPr>
            <w:r>
              <w:rPr>
                <w:rFonts w:ascii="Calibri" w:hAnsi="Calibri"/>
                <w:b/>
                <w:color w:val="C45C26"/>
                <w:sz w:val="17"/>
              </w:rPr>
              <w:t xml:space="preserve">Routing / switching  </w:t>
            </w:r>
            <w:r>
              <w:rPr>
                <w:rFonts w:ascii="Calibri" w:hAnsi="Calibri"/>
                <w:color w:val="1E293B"/>
                <w:sz w:val="17"/>
              </w:rPr>
              <w:t>BGP, OSPF, EIGRP, STP, VLANs, LAN/WAN, MPLS, SD-WAN, wireless controllers, load balancers</w:t>
            </w:r>
          </w:p>
          <w:p>
            <w:pPr>
              <w:spacing w:before="20" w:after="20"/>
            </w:pPr>
            <w:r>
              <w:rPr>
                <w:rFonts w:ascii="Calibri" w:hAnsi="Calibri"/>
                <w:b/>
                <w:color w:val="C45C26"/>
                <w:sz w:val="17"/>
              </w:rPr>
              <w:t xml:space="preserve">Packets / services  </w:t>
            </w:r>
            <w:r>
              <w:rPr>
                <w:rFonts w:ascii="Calibri" w:hAnsi="Calibri"/>
                <w:color w:val="1E293B"/>
                <w:sz w:val="17"/>
              </w:rPr>
              <w:t>Wireshark, tcpdump, TCP/IP, DNS, DHCP, NAT, QoS, VoIP/3CX</w:t>
            </w:r>
          </w:p>
          <w:p>
            <w:pPr>
              <w:spacing w:before="20" w:after="20"/>
            </w:pPr>
            <w:r>
              <w:rPr>
                <w:rFonts w:ascii="Calibri" w:hAnsi="Calibri"/>
                <w:b/>
                <w:color w:val="C45C26"/>
                <w:sz w:val="17"/>
              </w:rPr>
              <w:t xml:space="preserve">Platforms / firewalls  </w:t>
            </w:r>
            <w:r>
              <w:rPr>
                <w:rFonts w:ascii="Calibri" w:hAnsi="Calibri"/>
                <w:color w:val="1E293B"/>
                <w:sz w:val="17"/>
              </w:rPr>
              <w:t>Cisco, Meraki, Ruckus, Aruba/HP, Cisco ASA, Fortinet, WatchGuard, MikroTik, VPN</w:t>
            </w:r>
          </w:p>
          <w:p>
            <w:pPr>
              <w:spacing w:before="20" w:after="20"/>
            </w:pPr>
            <w:r>
              <w:rPr>
                <w:rFonts w:ascii="Calibri" w:hAnsi="Calibri"/>
                <w:b/>
                <w:color w:val="C45C26"/>
                <w:sz w:val="17"/>
              </w:rPr>
              <w:t xml:space="preserve">Identity / endpoints  </w:t>
            </w:r>
            <w:r>
              <w:rPr>
                <w:rFonts w:ascii="Calibri" w:hAnsi="Calibri"/>
                <w:color w:val="1E293B"/>
                <w:sz w:val="17"/>
              </w:rPr>
              <w:t>Windows, macOS, Active Directory, Azure/Entra ID, Microsoft 365, MFA, patching, firmware</w:t>
            </w:r>
          </w:p>
          <w:p>
            <w:pPr>
              <w:spacing w:before="20" w:after="20"/>
            </w:pPr>
            <w:r>
              <w:rPr>
                <w:rFonts w:ascii="Calibri" w:hAnsi="Calibri"/>
                <w:b/>
                <w:color w:val="C45C26"/>
                <w:sz w:val="17"/>
              </w:rPr>
              <w:t xml:space="preserve">Ops / security  </w:t>
            </w:r>
            <w:r>
              <w:rPr>
                <w:rFonts w:ascii="Calibri" w:hAnsi="Calibri"/>
                <w:color w:val="1E293B"/>
                <w:sz w:val="17"/>
              </w:rPr>
              <w:t>RCA, Tier 1/2 escalation, PowerShell, RMM, SIEM/EDR, SOPs, network diagrams, DR, vendors, field techs, PMS/hospitality site ops</w:t>
            </w:r>
          </w:p>
        </w:tc>
      </w:tr>
    </w:tbl>
    <w:p>
      <w:pPr>
        <w:spacing w:after="80"/>
      </w:pPr>
    </w:p>
    <w:p>
      <w:pPr>
        <w:spacing w:before="160" w:after="20"/>
        <w:pBdr>
          <w:bottom w:val="single" w:sz="12" w:space="1" w:color="C45C26"/>
        </w:pBdr>
      </w:pPr>
      <w:r>
        <w:rPr>
          <w:rFonts w:ascii="Calibri" w:hAnsi="Calibri"/>
          <w:b/>
          <w:color w:val="0F2744"/>
          <w:sz w:val="18"/>
        </w:rPr>
        <w:t>EXPERIENCE</w:t>
      </w:r>
    </w:p>
    <w:p>
      <w:pPr>
        <w:tabs>
          <w:tab w:pos="10008" w:val="decimal"/>
        </w:tabs>
        <w:spacing w:before="120" w:after="0"/>
      </w:pPr>
      <w:r>
        <w:rPr>
          <w:rFonts w:ascii="Calibri" w:hAnsi="Calibri"/>
          <w:b/>
          <w:color w:val="C45C26"/>
          <w:sz w:val="20"/>
        </w:rPr>
        <w:t>Tier 3 IT Support &amp; NOC Engineer</w:t>
      </w:r>
      <w:r>
        <w:tab/>
      </w:r>
      <w:r>
        <w:rPr>
          <w:rFonts w:ascii="Calibri" w:hAnsi="Calibri"/>
          <w:color w:val="64748B"/>
          <w:sz w:val="17"/>
        </w:rPr>
        <w:t>Mar 2025 to Present</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Kenya (Hybrid / Remote)  ·  24x7 on-call</w:t>
      </w:r>
    </w:p>
    <w:p>
      <w:pPr>
        <w:spacing w:after="40" w:line="259" w:lineRule="auto"/>
        <w:ind w:left="317"/>
      </w:pPr>
      <w:r>
        <w:rPr>
          <w:rFonts w:ascii="Calibri" w:hAnsi="Calibri"/>
          <w:b/>
          <w:color w:val="C45C26"/>
        </w:rPr>
        <w:t xml:space="preserve">▪  </w:t>
      </w:r>
      <w:r>
        <w:rPr>
          <w:rFonts w:ascii="Calibri" w:hAnsi="Calibri"/>
          <w:color w:val="1E293B"/>
          <w:sz w:val="18"/>
        </w:rPr>
        <w:t>Primary technical escalation for Tier 1 and Tier 2 across multi-site infrastructure. Own high-impact incidents through RCA, restore service, and leave the change and the diagram behind. Uptime above 98%.</w:t>
      </w:r>
    </w:p>
    <w:p>
      <w:pPr>
        <w:spacing w:after="40" w:line="259" w:lineRule="auto"/>
        <w:ind w:left="317"/>
      </w:pPr>
      <w:r>
        <w:rPr>
          <w:rFonts w:ascii="Calibri" w:hAnsi="Calibri"/>
          <w:b/>
          <w:color w:val="C45C26"/>
        </w:rPr>
        <w:t xml:space="preserve">▪  </w:t>
      </w:r>
      <w:r>
        <w:rPr>
          <w:rFonts w:ascii="Calibri" w:hAnsi="Calibri"/>
          <w:color w:val="1E293B"/>
          <w:sz w:val="18"/>
        </w:rPr>
        <w:t>Monitor production on SolarWinds, PRTG, Nagios, Zabbix, Cosmos, and Grafana. Act on SIEM/EDR and security-log alerts instead of waiting for a user ticket.</w:t>
      </w:r>
    </w:p>
    <w:p>
      <w:pPr>
        <w:spacing w:after="40" w:line="259" w:lineRule="auto"/>
        <w:ind w:left="317"/>
      </w:pPr>
      <w:r>
        <w:rPr>
          <w:rFonts w:ascii="Calibri" w:hAnsi="Calibri"/>
          <w:b/>
          <w:color w:val="C45C26"/>
        </w:rPr>
        <w:t xml:space="preserve">▪  </w:t>
      </w:r>
      <w:r>
        <w:rPr>
          <w:rFonts w:ascii="Calibri" w:hAnsi="Calibri"/>
          <w:color w:val="1E293B"/>
          <w:sz w:val="18"/>
        </w:rPr>
        <w:t>Diagnose LAN, WAN, MPLS, SD-WAN, and wireless. Routing and switching: BGP, OSPF, EIGRP, STP. Packet analysis with Wireshark and tcpdump. DNS, DHCP, NAT, VoIP, QoS.</w:t>
      </w:r>
    </w:p>
    <w:p>
      <w:pPr>
        <w:spacing w:after="40" w:line="259" w:lineRule="auto"/>
        <w:ind w:left="317"/>
      </w:pPr>
      <w:r>
        <w:rPr>
          <w:rFonts w:ascii="Calibri" w:hAnsi="Calibri"/>
          <w:b/>
          <w:color w:val="C45C26"/>
        </w:rPr>
        <w:t xml:space="preserve">▪  </w:t>
      </w:r>
      <w:r>
        <w:rPr>
          <w:rFonts w:ascii="Calibri" w:hAnsi="Calibri"/>
          <w:color w:val="1E293B"/>
          <w:sz w:val="18"/>
        </w:rPr>
        <w:t>Configure and manage routers, switches, firewalls (Cisco ASA, Fortinet, WatchGuard, Meraki MX), VLANs, VPNs, wireless controllers, and load balancers. Firmware, patching, config change with a backout.</w:t>
      </w:r>
    </w:p>
    <w:p>
      <w:pPr>
        <w:spacing w:after="40" w:line="259" w:lineRule="auto"/>
        <w:ind w:left="317"/>
      </w:pPr>
      <w:r>
        <w:rPr>
          <w:rFonts w:ascii="Calibri" w:hAnsi="Calibri"/>
          <w:b/>
          <w:color w:val="C45C26"/>
        </w:rPr>
        <w:t xml:space="preserve">▪  </w:t>
      </w:r>
      <w:r>
        <w:rPr>
          <w:rFonts w:ascii="Calibri" w:hAnsi="Calibri"/>
          <w:color w:val="1E293B"/>
          <w:sz w:val="18"/>
        </w:rPr>
        <w:t>Support Windows, macOS, Active Directory, Azure/Entra ID, and Microsoft 365. PowerShell and RMM for repeat work. Coordinate vendors and field technicians. SOPs, diagrams, incident reports, DR and capacity notes.</w:t>
      </w:r>
    </w:p>
    <w:p>
      <w:pPr>
        <w:tabs>
          <w:tab w:pos="10008" w:val="decimal"/>
        </w:tabs>
        <w:spacing w:before="120" w:after="0"/>
      </w:pPr>
      <w:r>
        <w:rPr>
          <w:rFonts w:ascii="Calibri" w:hAnsi="Calibri"/>
          <w:b/>
          <w:color w:val="C45C26"/>
          <w:sz w:val="20"/>
        </w:rPr>
        <w:t>Network Operations Engineer</w:t>
      </w:r>
      <w:r>
        <w:tab/>
      </w:r>
      <w:r>
        <w:rPr>
          <w:rFonts w:ascii="Calibri" w:hAnsi="Calibri"/>
          <w:color w:val="64748B"/>
          <w:sz w:val="17"/>
        </w:rPr>
        <w:t>Jan 2024 to Mar 2025</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Kenya (multi-site)</w:t>
      </w:r>
    </w:p>
    <w:p>
      <w:pPr>
        <w:spacing w:after="40" w:line="259" w:lineRule="auto"/>
        <w:ind w:left="317"/>
      </w:pPr>
      <w:r>
        <w:rPr>
          <w:rFonts w:ascii="Calibri" w:hAnsi="Calibri"/>
          <w:b/>
          <w:color w:val="C45C26"/>
        </w:rPr>
        <w:t xml:space="preserve">▪  </w:t>
      </w:r>
      <w:r>
        <w:rPr>
          <w:rFonts w:ascii="Calibri" w:hAnsi="Calibri"/>
          <w:color w:val="1E293B"/>
          <w:sz w:val="18"/>
        </w:rPr>
        <w:t>Ran network operations for 120+ users across sites: Cisco Meraki, Fortinet, MikroTik, VLANs, VPN, wireless, DNS/DHCP. Ticket response about 25% faster once the queue had a real escalation path.</w:t>
      </w:r>
    </w:p>
    <w:p>
      <w:pPr>
        <w:spacing w:after="40" w:line="259" w:lineRule="auto"/>
        <w:ind w:left="317"/>
      </w:pPr>
      <w:r>
        <w:rPr>
          <w:rFonts w:ascii="Calibri" w:hAnsi="Calibri"/>
          <w:b/>
          <w:color w:val="C45C26"/>
        </w:rPr>
        <w:t xml:space="preserve">▪  </w:t>
      </w:r>
      <w:r>
        <w:rPr>
          <w:rFonts w:ascii="Calibri" w:hAnsi="Calibri"/>
          <w:color w:val="1E293B"/>
          <w:sz w:val="18"/>
        </w:rPr>
        <w:t>Stood up identity and endpoints as part of the same NOC: Active Directory, Entra ID, Microsoft 365, Windows and macOS, MFA, imaging, patching.</w:t>
      </w:r>
    </w:p>
    <w:p>
      <w:pPr>
        <w:spacing w:after="40" w:line="259" w:lineRule="auto"/>
        <w:ind w:left="317"/>
      </w:pPr>
      <w:r>
        <w:rPr>
          <w:rFonts w:ascii="Calibri" w:hAnsi="Calibri"/>
          <w:b/>
          <w:color w:val="C45C26"/>
        </w:rPr>
        <w:t xml:space="preserve">▪  </w:t>
      </w:r>
      <w:r>
        <w:rPr>
          <w:rFonts w:ascii="Calibri" w:hAnsi="Calibri"/>
          <w:color w:val="1E293B"/>
          <w:sz w:val="18"/>
        </w:rPr>
        <w:t>Took the incidents Tier 1 could not close: routing, firewall, WAN, VoIP/3CX. Wrote the RCA and the SOP. Trained 80+ users so noise dropped out of the queue.</w:t>
      </w:r>
    </w:p>
    <w:p>
      <w:pPr>
        <w:spacing w:after="40" w:line="259" w:lineRule="auto"/>
        <w:ind w:left="317"/>
      </w:pPr>
      <w:r>
        <w:rPr>
          <w:rFonts w:ascii="Calibri" w:hAnsi="Calibri"/>
          <w:b/>
          <w:color w:val="C45C26"/>
        </w:rPr>
        <w:t xml:space="preserve">▪  </w:t>
      </w:r>
      <w:r>
        <w:rPr>
          <w:rFonts w:ascii="Calibri" w:hAnsi="Calibri"/>
          <w:color w:val="1E293B"/>
          <w:sz w:val="18"/>
        </w:rPr>
        <w:t>Automation with PowerShell for provisioning, patching, and reporting. Vendor and field-tech coordination when the break needed hands on site.</w:t>
      </w:r>
    </w:p>
    <w:p>
      <w:pPr>
        <w:tabs>
          <w:tab w:pos="10008" w:val="decimal"/>
        </w:tabs>
        <w:spacing w:before="120" w:after="0"/>
      </w:pPr>
      <w:r>
        <w:rPr>
          <w:rFonts w:ascii="Calibri" w:hAnsi="Calibri"/>
          <w:b/>
          <w:color w:val="C45C26"/>
          <w:sz w:val="20"/>
        </w:rPr>
        <w:t>NOC tooling and automation (project-based)</w:t>
      </w:r>
      <w:r>
        <w:tab/>
      </w:r>
      <w:r>
        <w:rPr>
          <w:rFonts w:ascii="Calibri" w:hAnsi="Calibri"/>
          <w:color w:val="64748B"/>
          <w:sz w:val="17"/>
        </w:rPr>
        <w:t>2023 to Present</w:t>
      </w:r>
    </w:p>
    <w:p>
      <w:pPr>
        <w:spacing w:after="40"/>
        <w:ind w:left="86"/>
      </w:pPr>
      <w:r>
        <w:rPr>
          <w:rFonts w:ascii="Calibri" w:hAnsi="Calibri"/>
          <w:i/>
          <w:color w:val="64748B"/>
          <w:sz w:val="18"/>
        </w:rPr>
        <w:t>Independent</w:t>
      </w:r>
      <w:r>
        <w:rPr>
          <w:rFonts w:ascii="Calibri" w:hAnsi="Calibri"/>
          <w:color w:val="E8C4A8"/>
          <w:sz w:val="18"/>
        </w:rPr>
        <w:t xml:space="preserve">   |   </w:t>
      </w:r>
      <w:r>
        <w:rPr>
          <w:rFonts w:ascii="Calibri" w:hAnsi="Calibri"/>
          <w:i/>
          <w:color w:val="64748B"/>
          <w:sz w:val="18"/>
        </w:rPr>
        <w:t>Remote</w:t>
      </w:r>
    </w:p>
    <w:p>
      <w:pPr>
        <w:spacing w:after="40" w:line="259" w:lineRule="auto"/>
        <w:ind w:left="317"/>
      </w:pPr>
      <w:r>
        <w:rPr>
          <w:rFonts w:ascii="Calibri" w:hAnsi="Calibri"/>
          <w:b/>
          <w:color w:val="C45C26"/>
        </w:rPr>
        <w:t xml:space="preserve">▪  </w:t>
      </w:r>
      <w:r>
        <w:rPr>
          <w:rFonts w:ascii="Calibri" w:hAnsi="Calibri"/>
          <w:color w:val="1E293B"/>
          <w:sz w:val="18"/>
        </w:rPr>
        <w:t>Built an operations platform with 40+ REST APIs: incident/NOC tickets, IT asset lifecycle, dashboards, role-based access. Grafana-style visibility so the queue sees the estate, not a spreadsheet.</w:t>
      </w:r>
    </w:p>
    <w:p>
      <w:pPr>
        <w:spacing w:after="40" w:line="259" w:lineRule="auto"/>
        <w:ind w:left="317"/>
      </w:pPr>
      <w:r>
        <w:rPr>
          <w:rFonts w:ascii="Calibri" w:hAnsi="Calibri"/>
          <w:b/>
          <w:color w:val="C45C26"/>
        </w:rPr>
        <w:t xml:space="preserve">▪  </w:t>
      </w:r>
      <w:r>
        <w:rPr>
          <w:rFonts w:ascii="Calibri" w:hAnsi="Calibri"/>
          <w:color w:val="1E293B"/>
          <w:sz w:val="18"/>
        </w:rPr>
        <w:t>Documented configuration, diagrams, and runbooks so the next engineer can take a shift without a handover call.</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173"/>
        <w:gridCol w:w="1699"/>
        <w:gridCol w:w="8294"/>
      </w:tblGrid>
      <w:tr>
        <w:tc>
          <w:tcPr>
            <w:tcW w:type="dxa" w:w="3581"/>
            <w:vMerge w:val="restart"/>
            <w:shd w:val="clear" w:color="auto" w:fill="C45C26"/>
          </w:tcPr>
          <w:p/>
        </w:tc>
        <w:tc>
          <w:tcPr>
            <w:tcW w:type="dxa" w:w="3581"/>
            <w:shd w:val="clear" w:color="auto" w:fill="FBF7F2"/>
          </w:tcPr>
          <w:p>
            <w:pPr>
              <w:spacing w:before="100" w:after="80"/>
              <w:jc w:val="right"/>
            </w:pPr>
            <w:r>
              <w:rPr>
                <w:rFonts w:ascii="Calibri" w:hAnsi="Calibri"/>
                <w:b/>
                <w:color w:val="C45C26"/>
                <w:sz w:val="14"/>
              </w:rPr>
              <w:t>EDUCATION</w:t>
            </w:r>
          </w:p>
        </w:tc>
        <w:tc>
          <w:tcPr>
            <w:tcW w:type="dxa" w:w="3581"/>
            <w:shd w:val="clear" w:color="auto" w:fill="FBF7F2"/>
          </w:tcPr>
          <w:p>
            <w:pPr>
              <w:spacing w:before="40" w:after="40"/>
            </w:pPr>
            <w:r>
              <w:rPr>
                <w:rFonts w:ascii="Calibri" w:hAnsi="Calibri"/>
                <w:b/>
                <w:color w:val="0F2744"/>
                <w:sz w:val="20"/>
              </w:rPr>
              <w:t>BSc, Applied Computing  ·  KCA University, Nairobi  ·  November 2023</w:t>
            </w:r>
          </w:p>
          <w:p>
            <w:pPr>
              <w:spacing w:before="40" w:after="40"/>
            </w:pPr>
            <w:r>
              <w:rPr>
                <w:rFonts w:ascii="Calibri" w:hAnsi="Calibri"/>
                <w:b w:val="0"/>
                <w:color w:val="64748B"/>
                <w:sz w:val="16"/>
              </w:rPr>
              <w:t>Cybersecurity and Digital Forensics. Coursework: Ethical Hacking, Digital Forensics, Data Protection, Cloud Computing.</w:t>
            </w:r>
          </w:p>
        </w:tc>
      </w:tr>
      <w:tr>
        <w:tc>
          <w:tcPr>
            <w:tcW w:type="dxa" w:w="3581"/>
            <w:vMerge/>
          </w:tcPr>
          <w:p/>
        </w:tc>
        <w:tc>
          <w:tcPr>
            <w:tcW w:type="dxa" w:w="3581"/>
            <w:shd w:val="clear" w:color="auto" w:fill="FBF7F2"/>
          </w:tcPr>
          <w:p>
            <w:pPr>
              <w:spacing w:before="100" w:after="80"/>
              <w:jc w:val="right"/>
            </w:pPr>
            <w:r>
              <w:rPr>
                <w:rFonts w:ascii="Calibri" w:hAnsi="Calibri"/>
                <w:b/>
                <w:color w:val="C45C26"/>
                <w:sz w:val="14"/>
              </w:rPr>
              <w:t>CERTIFICATIONS</w:t>
            </w:r>
          </w:p>
        </w:tc>
        <w:tc>
          <w:tcPr>
            <w:tcW w:type="dxa" w:w="3581"/>
            <w:shd w:val="clear" w:color="auto" w:fill="FBF7F2"/>
          </w:tcPr>
          <w:p>
            <w:pPr>
              <w:spacing w:before="40" w:after="40"/>
            </w:pPr>
            <w:r>
              <w:rPr>
                <w:rFonts w:ascii="Calibri" w:hAnsi="Calibri"/>
                <w:b w:val="0"/>
                <w:color w:val="1E293B"/>
                <w:sz w:val="18"/>
              </w:rPr>
              <w:t>CCNA  ·  AZ-900  ·  Google IT Support  ·  IBM Technical Support  ·  GitHub Professional  ·  Microsoft Data Analysis</w:t>
            </w:r>
          </w:p>
        </w:tc>
      </w:tr>
    </w:tbl>
    <w:p>
      <w:pPr>
        <w:spacing w:before="120" w:after="40"/>
      </w:pP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