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W w:w="9849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70"/>
      </w:tblGrid>
      <w:tr>
        <w:tc>
          <w:tcPr>
            <w:tcW w:type="dxa" w:w="10570"/>
            <w:shd w:val="clear" w:color="auto" w:fill="2A2478"/>
          </w:tcPr>
          <w:p>
            <w:pPr>
              <w:spacing w:after="0" w:before="0"/>
            </w:pPr>
            <w:r>
              <w:rPr>
                <w:sz w:val="6"/>
              </w:rPr>
              <w:t xml:space="preserve"> 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W w:w="9849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70"/>
      </w:tblGrid>
      <w:tr>
        <w:tc>
          <w:tcPr>
            <w:tcW w:type="dxa" w:w="10570"/>
            <w:shd w:val="clear" w:color="auto" w:fill="ECEDFB"/>
            <w:vAlign w:val="center"/>
          </w:tcPr>
          <w:p/>
          <w:p>
            <w:pPr>
              <w:spacing w:before="200" w:after="80"/>
              <w:jc w:val="center"/>
            </w:pPr>
            <w:r>
              <w:rPr>
                <w:rFonts w:ascii="Calibri" w:hAnsi="Calibri"/>
                <w:b/>
                <w:color w:val="2A2478"/>
                <w:sz w:val="52"/>
              </w:rPr>
              <w:t>MESHACK ARIRI</w:t>
            </w:r>
          </w:p>
          <w:p>
            <w:pPr>
              <w:spacing w:after="120"/>
              <w:jc w:val="center"/>
            </w:pPr>
            <w:r>
              <w:rPr>
                <w:rFonts w:ascii="Calibri" w:hAnsi="Calibri"/>
                <w:color w:val="1E293B"/>
                <w:sz w:val="20"/>
              </w:rPr>
              <w:t>Health Informatics Specialist  |  EMR (KenyaEMR/OpenMRS) &amp; DHIS2  |  Health Data &amp; Systems Support</w:t>
            </w:r>
          </w:p>
          <w:p>
            <w:pPr>
              <w:spacing w:after="40"/>
              <w:jc w:val="center"/>
            </w:pPr>
            <w:r>
              <w:rPr>
                <w:rFonts w:ascii="Calibri" w:hAnsi="Calibri"/>
                <w:color w:val="64748B"/>
                <w:sz w:val="16"/>
              </w:rPr>
              <w:t>Kisumu, Kenya</w:t>
            </w:r>
            <w:r>
              <w:rPr>
                <w:rFonts w:ascii="Calibri" w:hAnsi="Calibri"/>
                <w:color w:val="6366F1"/>
                <w:sz w:val="16"/>
              </w:rPr>
              <w:t xml:space="preserve">  |  </w:t>
            </w:r>
            <w:r>
              <w:rPr>
                <w:rFonts w:ascii="Calibri" w:hAnsi="Calibri"/>
                <w:color w:val="64748B"/>
                <w:sz w:val="16"/>
              </w:rPr>
              <w:t>+254 741 174 779</w:t>
            </w:r>
            <w:r>
              <w:rPr>
                <w:rFonts w:ascii="Calibri" w:hAnsi="Calibri"/>
                <w:color w:val="6366F1"/>
                <w:sz w:val="16"/>
              </w:rPr>
              <w:t xml:space="preserve">  |  </w:t>
            </w:r>
            <w:r>
              <w:rPr>
                <w:rFonts w:ascii="Calibri" w:hAnsi="Calibri"/>
                <w:color w:val="64748B"/>
                <w:sz w:val="16"/>
              </w:rPr>
              <w:t>aririmeshack@gmail.com</w:t>
            </w:r>
          </w:p>
          <w:p>
            <w:pPr>
              <w:spacing w:after="40"/>
              <w:jc w:val="center"/>
            </w:pPr>
            <w:r>
              <w:rPr>
                <w:rFonts w:ascii="Calibri" w:hAnsi="Calibri"/>
                <w:color w:val="64748B"/>
                <w:sz w:val="16"/>
              </w:rPr>
              <w:t>linkedin.com/in/meshack-ariri</w:t>
            </w:r>
            <w:r>
              <w:rPr>
                <w:rFonts w:ascii="Calibri" w:hAnsi="Calibri"/>
                <w:color w:val="6366F1"/>
                <w:sz w:val="16"/>
              </w:rPr>
              <w:t xml:space="preserve">  |  </w:t>
            </w:r>
            <w:r>
              <w:rPr>
                <w:rFonts w:ascii="Calibri" w:hAnsi="Calibri"/>
                <w:color w:val="64748B"/>
                <w:sz w:val="16"/>
              </w:rPr>
              <w:t>meshreallycodes.online</w:t>
            </w:r>
          </w:p>
          <w:p>
            <w:pPr>
              <w:spacing w:after="200"/>
            </w:pPr>
          </w:p>
        </w:tc>
      </w:tr>
    </w:tbl>
    <w:p>
      <w:pPr>
        <w:spacing w:before="80" w:after="160"/>
        <w:pBdr>
          <w:bottom w:val="single" w:sz="16" w:space="1" w:color="3730A3"/>
        </w:pBdr>
      </w:pPr>
    </w:p>
    <w:tbl>
      <w:tblPr>
        <w:tblW w:type="auto" w:w="0"/>
        <w:tblLook w:firstColumn="1" w:firstRow="1" w:lastColumn="0" w:lastRow="0" w:noHBand="0" w:noVBand="1" w:val="04A0"/>
        <w:tblW w:w="9849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85"/>
        <w:gridCol w:w="5285"/>
      </w:tblGrid>
      <w:tr>
        <w:tc>
          <w:tcPr>
            <w:tcW w:type="dxa" w:w="173"/>
            <w:shd w:val="clear" w:color="auto" w:fill="3730A3"/>
          </w:tcPr>
          <w:p/>
        </w:tc>
        <w:tc>
          <w:tcPr>
            <w:tcW w:type="dxa" w:w="9677"/>
            <w:shd w:val="clear" w:color="auto" w:fill="F6F6FD"/>
          </w:tcPr>
          <w:p>
            <w:pPr>
              <w:spacing w:before="100" w:after="100"/>
              <w:ind w:left="115"/>
            </w:pPr>
            <w:r>
              <w:rPr>
                <w:rFonts w:ascii="Calibri" w:hAnsi="Calibri"/>
                <w:b/>
                <w:color w:val="2A2478"/>
                <w:sz w:val="21"/>
              </w:rPr>
              <w:t>PROFESSIONAL SUMMARY</w:t>
            </w:r>
          </w:p>
        </w:tc>
      </w:tr>
    </w:tbl>
    <w:p>
      <w:pPr>
        <w:spacing w:before="0" w:after="120"/>
        <w:pBdr>
          <w:bottom w:val="single" w:sz="4" w:space="1" w:color="6366F1"/>
        </w:pBdr>
      </w:pPr>
    </w:p>
    <w:p>
      <w:pPr>
        <w:spacing w:after="80"/>
      </w:pPr>
      <w:r>
        <w:rPr>
          <w:rFonts w:ascii="Calibri" w:hAnsi="Calibri"/>
          <w:b w:val="0"/>
          <w:color w:val="1E293B"/>
          <w:sz w:val="20"/>
        </w:rPr>
        <w:t>Health Informatics and IT professional with ~3 years at PATH supporting national-scale health information systems such as KenyaEMR/TaifaCare, DHIS2, and EMR, laboratory, and pharmacy integrations. Combines hands-on EMR/HMIS support with data quality (DQA, SQL validation), analytics (Power BI, Grafana), and reliable IT operations for 120+ users across multiple sites. Proven at improving uptime, safeguarding data integrity, and training health workers to adopt digital tools. Focused on digital-health and EMR/DHIS2 implementation roles.</w:t>
      </w:r>
    </w:p>
    <w:tbl>
      <w:tblPr>
        <w:tblW w:type="auto" w:w="0"/>
        <w:tblLook w:firstColumn="1" w:firstRow="1" w:lastColumn="0" w:lastRow="0" w:noHBand="0" w:noVBand="1" w:val="04A0"/>
        <w:tblW w:w="9849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85"/>
        <w:gridCol w:w="5285"/>
      </w:tblGrid>
      <w:tr>
        <w:tc>
          <w:tcPr>
            <w:tcW w:type="dxa" w:w="173"/>
            <w:shd w:val="clear" w:color="auto" w:fill="3730A3"/>
          </w:tcPr>
          <w:p/>
        </w:tc>
        <w:tc>
          <w:tcPr>
            <w:tcW w:type="dxa" w:w="9677"/>
            <w:shd w:val="clear" w:color="auto" w:fill="F6F6FD"/>
          </w:tcPr>
          <w:p>
            <w:pPr>
              <w:spacing w:before="100" w:after="100"/>
              <w:ind w:left="115"/>
            </w:pPr>
            <w:r>
              <w:rPr>
                <w:rFonts w:ascii="Calibri" w:hAnsi="Calibri"/>
                <w:b/>
                <w:color w:val="2A2478"/>
                <w:sz w:val="21"/>
              </w:rPr>
              <w:t>CORE SKILLS</w:t>
            </w:r>
          </w:p>
        </w:tc>
      </w:tr>
    </w:tbl>
    <w:p>
      <w:pPr>
        <w:spacing w:before="0" w:after="120"/>
        <w:pBdr>
          <w:bottom w:val="single" w:sz="4" w:space="1" w:color="6366F1"/>
        </w:pBdr>
      </w:pPr>
    </w:p>
    <w:p>
      <w:pPr>
        <w:spacing w:after="60"/>
        <w:ind w:left="58"/>
      </w:pPr>
      <w:r>
        <w:rPr>
          <w:rFonts w:ascii="Calibri" w:hAnsi="Calibri"/>
          <w:b/>
          <w:color w:val="3730A3"/>
          <w:sz w:val="18"/>
        </w:rPr>
        <w:t xml:space="preserve">Health Information Systems: </w:t>
      </w:r>
      <w:r>
        <w:rPr>
          <w:rFonts w:ascii="Calibri" w:hAnsi="Calibri"/>
          <w:color w:val="1E293B"/>
          <w:sz w:val="18"/>
        </w:rPr>
        <w:t>KenyaEMR/TaifaCare, OpenMRS, DHIS2, NDWH, EMR-lab-pharmacy integration, interoperability, data quality (DQA), surveillance/MEL reporting, Kobo Toolbox</w:t>
      </w:r>
    </w:p>
    <w:p>
      <w:pPr>
        <w:spacing w:after="60"/>
        <w:ind w:left="58"/>
      </w:pPr>
      <w:r>
        <w:rPr>
          <w:rFonts w:ascii="Calibri" w:hAnsi="Calibri"/>
          <w:b/>
          <w:color w:val="3730A3"/>
          <w:sz w:val="18"/>
        </w:rPr>
        <w:t xml:space="preserve">Data &amp; Analytics: </w:t>
      </w:r>
      <w:r>
        <w:rPr>
          <w:rFonts w:ascii="Calibri" w:hAnsi="Calibri"/>
          <w:color w:val="1E293B"/>
          <w:sz w:val="18"/>
        </w:rPr>
        <w:t>SQL (MySQL/PostgreSQL), Power BI, Grafana, Metabase, advanced Excel, Python (automation), data validation &amp; pipelines</w:t>
      </w:r>
    </w:p>
    <w:p>
      <w:pPr>
        <w:spacing w:after="60"/>
        <w:ind w:left="58"/>
      </w:pPr>
      <w:r>
        <w:rPr>
          <w:rFonts w:ascii="Calibri" w:hAnsi="Calibri"/>
          <w:b/>
          <w:color w:val="3730A3"/>
          <w:sz w:val="18"/>
        </w:rPr>
        <w:t xml:space="preserve">IT &amp; Systems: </w:t>
      </w:r>
      <w:r>
        <w:rPr>
          <w:rFonts w:ascii="Calibri" w:hAnsi="Calibri"/>
          <w:color w:val="1E293B"/>
          <w:sz w:val="18"/>
        </w:rPr>
        <w:t>Microsoft 365, Active Directory/Azure AD, Windows/Linux servers, Apache Tomcat, backups &amp; disaster recovery, networking</w:t>
      </w:r>
    </w:p>
    <w:p>
      <w:pPr>
        <w:spacing w:after="60"/>
        <w:ind w:left="58"/>
      </w:pPr>
      <w:r>
        <w:rPr>
          <w:rFonts w:ascii="Calibri" w:hAnsi="Calibri"/>
          <w:b/>
          <w:color w:val="3730A3"/>
          <w:sz w:val="18"/>
        </w:rPr>
        <w:t xml:space="preserve">Service Management: </w:t>
      </w:r>
      <w:r>
        <w:rPr>
          <w:rFonts w:ascii="Calibri" w:hAnsi="Calibri"/>
          <w:color w:val="1E293B"/>
          <w:sz w:val="18"/>
        </w:rPr>
        <w:t>Freshdesk, Zoho Desk, Jira Service Management, ITIL, SLA, incident &amp; root-cause analysis, knowledge base</w:t>
      </w:r>
    </w:p>
    <w:p>
      <w:pPr>
        <w:spacing w:after="60"/>
        <w:ind w:left="58"/>
      </w:pPr>
      <w:r>
        <w:rPr>
          <w:rFonts w:ascii="Calibri" w:hAnsi="Calibri"/>
          <w:b/>
          <w:color w:val="3730A3"/>
          <w:sz w:val="18"/>
        </w:rPr>
        <w:t xml:space="preserve">Delivery &amp; Enablement: </w:t>
      </w:r>
      <w:r>
        <w:rPr>
          <w:rFonts w:ascii="Calibri" w:hAnsi="Calibri"/>
          <w:color w:val="1E293B"/>
          <w:sz w:val="18"/>
        </w:rPr>
        <w:t>Training &amp; capacity building, technical documentation/SOPs, stakeholder engagement, requirements analysis</w:t>
      </w:r>
    </w:p>
    <w:tbl>
      <w:tblPr>
        <w:tblW w:type="auto" w:w="0"/>
        <w:tblLook w:firstColumn="1" w:firstRow="1" w:lastColumn="0" w:lastRow="0" w:noHBand="0" w:noVBand="1" w:val="04A0"/>
        <w:tblW w:w="9849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85"/>
        <w:gridCol w:w="5285"/>
      </w:tblGrid>
      <w:tr>
        <w:tc>
          <w:tcPr>
            <w:tcW w:type="dxa" w:w="173"/>
            <w:shd w:val="clear" w:color="auto" w:fill="3730A3"/>
          </w:tcPr>
          <w:p/>
        </w:tc>
        <w:tc>
          <w:tcPr>
            <w:tcW w:type="dxa" w:w="9677"/>
            <w:shd w:val="clear" w:color="auto" w:fill="F6F6FD"/>
          </w:tcPr>
          <w:p>
            <w:pPr>
              <w:spacing w:before="100" w:after="100"/>
              <w:ind w:left="115"/>
            </w:pPr>
            <w:r>
              <w:rPr>
                <w:rFonts w:ascii="Calibri" w:hAnsi="Calibri"/>
                <w:b/>
                <w:color w:val="2A2478"/>
                <w:sz w:val="21"/>
              </w:rPr>
              <w:t>PROFESSIONAL EXPERIENCE</w:t>
            </w:r>
          </w:p>
        </w:tc>
      </w:tr>
    </w:tbl>
    <w:p>
      <w:pPr>
        <w:spacing w:before="0" w:after="120"/>
        <w:pBdr>
          <w:bottom w:val="single" w:sz="4" w:space="1" w:color="6366F1"/>
        </w:pBdr>
      </w:pPr>
    </w:p>
    <w:p>
      <w:pPr>
        <w:tabs>
          <w:tab w:pos="10008" w:val="decimal"/>
        </w:tabs>
        <w:spacing w:before="120" w:after="0"/>
      </w:pPr>
      <w:r>
        <w:rPr>
          <w:rFonts w:ascii="Calibri" w:hAnsi="Calibri"/>
          <w:b/>
          <w:color w:val="3730A3"/>
          <w:sz w:val="20"/>
        </w:rPr>
        <w:t>Health Informatics / HMIS Officer</w:t>
      </w:r>
      <w:r>
        <w:tab/>
      </w:r>
      <w:r>
        <w:rPr>
          <w:rFonts w:ascii="Calibri" w:hAnsi="Calibri"/>
          <w:color w:val="64748B"/>
          <w:sz w:val="17"/>
        </w:rPr>
        <w:t>Mar 2025 – Present</w:t>
      </w:r>
    </w:p>
    <w:p>
      <w:pPr>
        <w:spacing w:after="40"/>
        <w:ind w:left="86"/>
      </w:pPr>
      <w:r>
        <w:rPr>
          <w:rFonts w:ascii="Calibri" w:hAnsi="Calibri"/>
          <w:i/>
          <w:color w:val="64748B"/>
          <w:sz w:val="18"/>
        </w:rPr>
        <w:t>PATH</w:t>
      </w:r>
      <w:r>
        <w:rPr>
          <w:rFonts w:ascii="Calibri" w:hAnsi="Calibri"/>
          <w:color w:val="6366F1"/>
          <w:sz w:val="18"/>
        </w:rPr>
        <w:t xml:space="preserve">   |   </w:t>
      </w:r>
      <w:r>
        <w:rPr>
          <w:rFonts w:ascii="Calibri" w:hAnsi="Calibri"/>
          <w:i/>
          <w:color w:val="64748B"/>
          <w:sz w:val="18"/>
        </w:rPr>
        <w:t>Kisumu/Nyamira, Kenya (Hybrid)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Support and stabilize KenyaEMR/TaifaCare and DHIS2 across health facilities, sustaining &gt;98% uptime for critical clinical services.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Develop SQL validation and data-quality (DQA) workflows that improve early error detection and reduce reporting time by ~40%.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Build Power BI, Grafana, and Metabase dashboards for surveillance, trend analysis, and program decision-making.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Support EMR-laboratory-pharmacy integrations and multi-system data flow, strengthening interoperability and reporting accuracy.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Maintain Windows and Linux servers hosting EMR data, covering backups, encryption, patching, and disaster recovery.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Conduct system audits, data-flow reviews, and risk identification aligned to national HIS standards.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Train facility staff, ICT officers, and program teams on EMR modules, DHIS2, data quality, and secure system use.</w:t>
      </w:r>
    </w:p>
    <w:p>
      <w:pPr>
        <w:tabs>
          <w:tab w:pos="10008" w:val="decimal"/>
        </w:tabs>
        <w:spacing w:before="120" w:after="0"/>
      </w:pPr>
      <w:r>
        <w:rPr>
          <w:rFonts w:ascii="Calibri" w:hAnsi="Calibri"/>
          <w:b/>
          <w:color w:val="3730A3"/>
          <w:sz w:val="20"/>
        </w:rPr>
        <w:t>ICT Associate</w:t>
      </w:r>
      <w:r>
        <w:tab/>
      </w:r>
      <w:r>
        <w:rPr>
          <w:rFonts w:ascii="Calibri" w:hAnsi="Calibri"/>
          <w:color w:val="64748B"/>
          <w:sz w:val="17"/>
        </w:rPr>
        <w:t>Jan 2024 – Mar 2025</w:t>
      </w:r>
    </w:p>
    <w:p>
      <w:pPr>
        <w:spacing w:after="40"/>
        <w:ind w:left="86"/>
      </w:pPr>
      <w:r>
        <w:rPr>
          <w:rFonts w:ascii="Calibri" w:hAnsi="Calibri"/>
          <w:i/>
          <w:color w:val="64748B"/>
          <w:sz w:val="18"/>
        </w:rPr>
        <w:t>PATH</w:t>
      </w:r>
      <w:r>
        <w:rPr>
          <w:rFonts w:ascii="Calibri" w:hAnsi="Calibri"/>
          <w:color w:val="6366F1"/>
          <w:sz w:val="18"/>
        </w:rPr>
        <w:t xml:space="preserve">   |   </w:t>
      </w:r>
      <w:r>
        <w:rPr>
          <w:rFonts w:ascii="Calibri" w:hAnsi="Calibri"/>
          <w:i/>
          <w:color w:val="64748B"/>
          <w:sz w:val="18"/>
        </w:rPr>
        <w:t>Kisumu, Kenya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Provided 1st- and 2nd-line IT support to 120+ users, achieving ~98% uptime and secure system access.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Logged and tracked incidents in Freshdesk/Zoho Desk using ITIL workflows, meeting SLAs and improving response time ~25%.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Developed SQL scripts and automated validation checks that enhanced surveillance data accuracy.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Administered Active Directory (provisioning, access rights, group policy) and Microsoft 365 (Outlook, Teams, SharePoint).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Configured and monitored Cisco Meraki network devices for reliable, secure connectivity.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Authored knowledge-base articles and delivered user training and onboarding.</w:t>
      </w:r>
    </w:p>
    <w:p>
      <w:pPr>
        <w:tabs>
          <w:tab w:pos="10008" w:val="decimal"/>
        </w:tabs>
        <w:spacing w:before="120" w:after="0"/>
      </w:pPr>
      <w:r>
        <w:rPr>
          <w:rFonts w:ascii="Calibri" w:hAnsi="Calibri"/>
          <w:b/>
          <w:color w:val="3730A3"/>
          <w:sz w:val="20"/>
        </w:rPr>
        <w:t>ICT Intern</w:t>
      </w:r>
      <w:r>
        <w:tab/>
      </w:r>
      <w:r>
        <w:rPr>
          <w:rFonts w:ascii="Calibri" w:hAnsi="Calibri"/>
          <w:color w:val="64748B"/>
          <w:sz w:val="17"/>
        </w:rPr>
        <w:t>Apr 2023 – Dec 2023</w:t>
      </w:r>
    </w:p>
    <w:p>
      <w:pPr>
        <w:spacing w:after="40"/>
        <w:ind w:left="86"/>
      </w:pPr>
      <w:r>
        <w:rPr>
          <w:rFonts w:ascii="Calibri" w:hAnsi="Calibri"/>
          <w:i/>
          <w:color w:val="64748B"/>
          <w:sz w:val="18"/>
        </w:rPr>
        <w:t>PATH</w:t>
      </w:r>
      <w:r>
        <w:rPr>
          <w:rFonts w:ascii="Calibri" w:hAnsi="Calibri"/>
          <w:color w:val="6366F1"/>
          <w:sz w:val="18"/>
        </w:rPr>
        <w:t xml:space="preserve">   |   </w:t>
      </w:r>
      <w:r>
        <w:rPr>
          <w:rFonts w:ascii="Calibri" w:hAnsi="Calibri"/>
          <w:i/>
          <w:color w:val="64748B"/>
          <w:sz w:val="18"/>
        </w:rPr>
        <w:t>Homa Bay, Kenya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Assisted facility data-system deployment and digitalization for surveillance and reporting readiness.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Supported LAN/WAN, routers, switches, and structured cabling; logged/tracked Freshdesk tickets under SLA monitoring.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Deployed and configured printers, VoIP phones, and desktop imaging (PXE boot); contributed to process documentation.</w:t>
      </w:r>
    </w:p>
    <w:tbl>
      <w:tblPr>
        <w:tblW w:type="auto" w:w="0"/>
        <w:tblLook w:firstColumn="1" w:firstRow="1" w:lastColumn="0" w:lastRow="0" w:noHBand="0" w:noVBand="1" w:val="04A0"/>
        <w:tblW w:w="9849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85"/>
        <w:gridCol w:w="5285"/>
      </w:tblGrid>
      <w:tr>
        <w:tc>
          <w:tcPr>
            <w:tcW w:type="dxa" w:w="173"/>
            <w:shd w:val="clear" w:color="auto" w:fill="3730A3"/>
          </w:tcPr>
          <w:p/>
        </w:tc>
        <w:tc>
          <w:tcPr>
            <w:tcW w:type="dxa" w:w="9677"/>
            <w:shd w:val="clear" w:color="auto" w:fill="F6F6FD"/>
          </w:tcPr>
          <w:p>
            <w:pPr>
              <w:spacing w:before="100" w:after="100"/>
              <w:ind w:left="115"/>
            </w:pPr>
            <w:r>
              <w:rPr>
                <w:rFonts w:ascii="Calibri" w:hAnsi="Calibri"/>
                <w:b/>
                <w:color w:val="2A2478"/>
                <w:sz w:val="21"/>
              </w:rPr>
              <w:t>EDUCATION</w:t>
            </w:r>
          </w:p>
        </w:tc>
      </w:tr>
    </w:tbl>
    <w:p>
      <w:pPr>
        <w:spacing w:before="0" w:after="120"/>
        <w:pBdr>
          <w:bottom w:val="single" w:sz="4" w:space="1" w:color="6366F1"/>
        </w:pBdr>
      </w:pPr>
    </w:p>
    <w:p>
      <w:pPr>
        <w:spacing w:after="20"/>
      </w:pPr>
      <w:r>
        <w:rPr>
          <w:rFonts w:ascii="Calibri" w:hAnsi="Calibri"/>
          <w:b/>
          <w:color w:val="1E293B"/>
          <w:sz w:val="20"/>
        </w:rPr>
        <w:t>BSc, Applied Computing  |  KCA University, Nairobi  |  November 2023</w:t>
      </w:r>
    </w:p>
    <w:p>
      <w:pPr>
        <w:spacing w:after="60"/>
      </w:pPr>
      <w:r>
        <w:rPr>
          <w:rFonts w:ascii="Calibri" w:hAnsi="Calibri"/>
          <w:b w:val="0"/>
          <w:color w:val="64748B"/>
          <w:sz w:val="19"/>
        </w:rPr>
        <w:t>Specialized in Cybersecurity and Digital Forensics. Coursework included Ethical Hacking, Digital Forensics, Data Protection, and Cloud Computing.</w:t>
      </w:r>
    </w:p>
    <w:p>
      <w:pPr>
        <w:spacing w:after="60"/>
      </w:pPr>
      <w:r>
        <w:rPr>
          <w:rFonts w:ascii="Calibri" w:hAnsi="Calibri"/>
          <w:b w:val="0"/>
          <w:color w:val="64748B"/>
          <w:sz w:val="19"/>
        </w:rPr>
        <w:t>Capstone: Designed and implemented a secure office network (VLANs, Active Directory, backup/DR) simulating real-world IT administration.</w:t>
      </w:r>
    </w:p>
    <w:tbl>
      <w:tblPr>
        <w:tblW w:type="auto" w:w="0"/>
        <w:tblLook w:firstColumn="1" w:firstRow="1" w:lastColumn="0" w:lastRow="0" w:noHBand="0" w:noVBand="1" w:val="04A0"/>
        <w:tblW w:w="9849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85"/>
        <w:gridCol w:w="5285"/>
      </w:tblGrid>
      <w:tr>
        <w:tc>
          <w:tcPr>
            <w:tcW w:type="dxa" w:w="173"/>
            <w:shd w:val="clear" w:color="auto" w:fill="3730A3"/>
          </w:tcPr>
          <w:p/>
        </w:tc>
        <w:tc>
          <w:tcPr>
            <w:tcW w:type="dxa" w:w="9677"/>
            <w:shd w:val="clear" w:color="auto" w:fill="F6F6FD"/>
          </w:tcPr>
          <w:p>
            <w:pPr>
              <w:spacing w:before="100" w:after="100"/>
              <w:ind w:left="115"/>
            </w:pPr>
            <w:r>
              <w:rPr>
                <w:rFonts w:ascii="Calibri" w:hAnsi="Calibri"/>
                <w:b/>
                <w:color w:val="2A2478"/>
                <w:sz w:val="21"/>
              </w:rPr>
              <w:t>CERTIFICATIONS</w:t>
            </w:r>
          </w:p>
        </w:tc>
      </w:tr>
    </w:tbl>
    <w:p>
      <w:pPr>
        <w:spacing w:before="0" w:after="120"/>
        <w:pBdr>
          <w:bottom w:val="single" w:sz="4" w:space="1" w:color="6366F1"/>
        </w:pBdr>
      </w:pPr>
    </w:p>
    <w:p>
      <w:pPr>
        <w:spacing w:after="60"/>
      </w:pPr>
      <w:r>
        <w:rPr>
          <w:rFonts w:ascii="Calibri" w:hAnsi="Calibri"/>
          <w:b w:val="0"/>
          <w:color w:val="1E293B"/>
          <w:sz w:val="20"/>
        </w:rPr>
        <w:t>CCNA  |  Microsoft Azure Fundamentals (AZ-900)  |  Google IT Support  |  IBM Technical Support  |  GitHub Professional  |  Microsoft Data Analysis</w:t>
      </w:r>
    </w:p>
    <w:tbl>
      <w:tblPr>
        <w:tblW w:type="auto" w:w="0"/>
        <w:tblLook w:firstColumn="1" w:firstRow="1" w:lastColumn="0" w:lastRow="0" w:noHBand="0" w:noVBand="1" w:val="04A0"/>
        <w:tblW w:w="9849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85"/>
        <w:gridCol w:w="5285"/>
      </w:tblGrid>
      <w:tr>
        <w:tc>
          <w:tcPr>
            <w:tcW w:type="dxa" w:w="173"/>
            <w:shd w:val="clear" w:color="auto" w:fill="3730A3"/>
          </w:tcPr>
          <w:p/>
        </w:tc>
        <w:tc>
          <w:tcPr>
            <w:tcW w:type="dxa" w:w="9677"/>
            <w:shd w:val="clear" w:color="auto" w:fill="F6F6FD"/>
          </w:tcPr>
          <w:p>
            <w:pPr>
              <w:spacing w:before="100" w:after="100"/>
              <w:ind w:left="115"/>
            </w:pPr>
            <w:r>
              <w:rPr>
                <w:rFonts w:ascii="Calibri" w:hAnsi="Calibri"/>
                <w:b/>
                <w:color w:val="2A2478"/>
                <w:sz w:val="21"/>
              </w:rPr>
              <w:t>ACHIEVEMENTS &amp; ACTIVITIES</w:t>
            </w:r>
          </w:p>
        </w:tc>
      </w:tr>
    </w:tbl>
    <w:p>
      <w:pPr>
        <w:spacing w:before="0" w:after="120"/>
        <w:pBdr>
          <w:bottom w:val="single" w:sz="4" w:space="1" w:color="6366F1"/>
        </w:pBdr>
      </w:pP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Improved multi-system data quality and sustained &gt;98% uptime across supported program sites.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Automated validation and reporting workflows, reducing reporting/processing time by ~40%.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Trained 80+ health workers and facility teams on digital tools, data quality, and secure system use.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Competed in cybersecurity hackathons, including the Cyberise Hackathon (Communications Authority of Kenya) and the NRF Cybersecurity Hackathon.</w:t>
      </w:r>
    </w:p>
    <w:tbl>
      <w:tblPr>
        <w:tblW w:type="auto" w:w="0"/>
        <w:tblLook w:firstColumn="1" w:firstRow="1" w:lastColumn="0" w:lastRow="0" w:noHBand="0" w:noVBand="1" w:val="04A0"/>
        <w:tblW w:w="9849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85"/>
        <w:gridCol w:w="5285"/>
      </w:tblGrid>
      <w:tr>
        <w:tc>
          <w:tcPr>
            <w:tcW w:type="dxa" w:w="173"/>
            <w:shd w:val="clear" w:color="auto" w:fill="3730A3"/>
          </w:tcPr>
          <w:p/>
        </w:tc>
        <w:tc>
          <w:tcPr>
            <w:tcW w:type="dxa" w:w="9677"/>
            <w:shd w:val="clear" w:color="auto" w:fill="F6F6FD"/>
          </w:tcPr>
          <w:p>
            <w:pPr>
              <w:spacing w:before="100" w:after="100"/>
              <w:ind w:left="115"/>
            </w:pPr>
            <w:r>
              <w:rPr>
                <w:rFonts w:ascii="Calibri" w:hAnsi="Calibri"/>
                <w:b/>
                <w:color w:val="2A2478"/>
                <w:sz w:val="21"/>
              </w:rPr>
              <w:t>REFEREES</w:t>
            </w:r>
          </w:p>
        </w:tc>
      </w:tr>
    </w:tbl>
    <w:p>
      <w:pPr>
        <w:spacing w:before="0" w:after="120"/>
        <w:pBdr>
          <w:bottom w:val="single" w:sz="4" w:space="1" w:color="6366F1"/>
        </w:pBdr>
      </w:pPr>
    </w:p>
    <w:p>
      <w:pPr>
        <w:spacing w:after="60"/>
      </w:pPr>
      <w:r>
        <w:rPr>
          <w:rFonts w:ascii="Calibri" w:hAnsi="Calibri"/>
          <w:b w:val="0"/>
          <w:color w:val="64748B"/>
          <w:sz w:val="20"/>
        </w:rPr>
        <w:t>Available upon request.</w:t>
      </w:r>
    </w:p>
    <w:sectPr w:rsidR="00FC693F" w:rsidRPr="0006063C" w:rsidSect="00034616">
      <w:pgSz w:w="12240" w:h="15840"/>
      <w:pgMar w:top="691" w:right="835" w:bottom="691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2" w:lineRule="auto"/>
    </w:pPr>
    <w:rPr>
      <w:rFonts w:ascii="Calibri" w:hAnsi="Calibri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