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6FCD4" w14:textId="730C8B7A" w:rsidR="00193156" w:rsidRPr="00EF5186" w:rsidRDefault="000A175F">
      <w:pPr>
        <w:rPr>
          <w:rFonts w:ascii="Times New Roman" w:hAnsi="Times New Roman" w:cs="Times New Roman"/>
        </w:rPr>
      </w:pPr>
      <w:r w:rsidRPr="00EF5186">
        <w:rPr>
          <w:rFonts w:ascii="Times New Roman" w:hAnsi="Times New Roman" w:cs="Times New Roman"/>
        </w:rPr>
        <w:t>1)How much money are these accidents costing our company in total?</w:t>
      </w:r>
    </w:p>
    <w:p w14:paraId="679C3DFE" w14:textId="1BE9B6E8" w:rsidR="000A175F" w:rsidRPr="00EF5186" w:rsidRDefault="000A175F" w:rsidP="000A175F">
      <w:pPr>
        <w:rPr>
          <w:rFonts w:ascii="Times New Roman" w:hAnsi="Times New Roman" w:cs="Times New Roman"/>
        </w:rPr>
      </w:pPr>
      <w:r w:rsidRPr="00EF5186">
        <w:rPr>
          <w:rFonts w:ascii="Times New Roman" w:hAnsi="Times New Roman" w:cs="Times New Roman"/>
        </w:rPr>
        <w:t>Total Financial Cost of Accidents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4"/>
        <w:gridCol w:w="1576"/>
      </w:tblGrid>
      <w:tr w:rsidR="000A175F" w:rsidRPr="00EF5186" w14:paraId="2CDE4DA2" w14:textId="77777777">
        <w:trPr>
          <w:tblHeader/>
          <w:tblCellSpacing w:w="15" w:type="dxa"/>
        </w:trPr>
        <w:tc>
          <w:tcPr>
            <w:tcW w:w="0" w:type="auto"/>
            <w:vAlign w:val="center"/>
            <w:hideMark/>
          </w:tcPr>
          <w:p w14:paraId="70033820"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Parameter</w:t>
            </w:r>
          </w:p>
        </w:tc>
        <w:tc>
          <w:tcPr>
            <w:tcW w:w="0" w:type="auto"/>
            <w:vAlign w:val="center"/>
            <w:hideMark/>
          </w:tcPr>
          <w:p w14:paraId="468D1152"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Result</w:t>
            </w:r>
          </w:p>
        </w:tc>
      </w:tr>
      <w:tr w:rsidR="000A175F" w:rsidRPr="00EF5186" w14:paraId="62490EA2" w14:textId="77777777">
        <w:trPr>
          <w:tblCellSpacing w:w="15" w:type="dxa"/>
        </w:trPr>
        <w:tc>
          <w:tcPr>
            <w:tcW w:w="0" w:type="auto"/>
            <w:vAlign w:val="center"/>
            <w:hideMark/>
          </w:tcPr>
          <w:p w14:paraId="67550755"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Total number of accidents/incidents</w:t>
            </w:r>
          </w:p>
        </w:tc>
        <w:tc>
          <w:tcPr>
            <w:tcW w:w="0" w:type="auto"/>
            <w:vAlign w:val="center"/>
            <w:hideMark/>
          </w:tcPr>
          <w:p w14:paraId="44072CA8"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250</w:t>
            </w:r>
          </w:p>
        </w:tc>
      </w:tr>
      <w:tr w:rsidR="000A175F" w:rsidRPr="00EF5186" w14:paraId="2372B1CB" w14:textId="77777777">
        <w:trPr>
          <w:tblCellSpacing w:w="15" w:type="dxa"/>
        </w:trPr>
        <w:tc>
          <w:tcPr>
            <w:tcW w:w="0" w:type="auto"/>
            <w:vAlign w:val="center"/>
            <w:hideMark/>
          </w:tcPr>
          <w:p w14:paraId="27C34262"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Total estimated financial cost</w:t>
            </w:r>
          </w:p>
        </w:tc>
        <w:tc>
          <w:tcPr>
            <w:tcW w:w="0" w:type="auto"/>
            <w:vAlign w:val="center"/>
            <w:hideMark/>
          </w:tcPr>
          <w:p w14:paraId="08D661CD"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USD 5,646,350</w:t>
            </w:r>
          </w:p>
        </w:tc>
      </w:tr>
      <w:tr w:rsidR="000A175F" w:rsidRPr="00EF5186" w14:paraId="44DE5846" w14:textId="77777777">
        <w:trPr>
          <w:tblCellSpacing w:w="15" w:type="dxa"/>
        </w:trPr>
        <w:tc>
          <w:tcPr>
            <w:tcW w:w="0" w:type="auto"/>
            <w:vAlign w:val="center"/>
            <w:hideMark/>
          </w:tcPr>
          <w:p w14:paraId="021B74B1"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Average cost per accident</w:t>
            </w:r>
          </w:p>
        </w:tc>
        <w:tc>
          <w:tcPr>
            <w:tcW w:w="0" w:type="auto"/>
            <w:vAlign w:val="center"/>
            <w:hideMark/>
          </w:tcPr>
          <w:p w14:paraId="725869C3"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USD 22,585.40</w:t>
            </w:r>
          </w:p>
        </w:tc>
      </w:tr>
      <w:tr w:rsidR="000A175F" w:rsidRPr="00EF5186" w14:paraId="1DD1F087" w14:textId="77777777">
        <w:trPr>
          <w:tblCellSpacing w:w="15" w:type="dxa"/>
        </w:trPr>
        <w:tc>
          <w:tcPr>
            <w:tcW w:w="0" w:type="auto"/>
            <w:vAlign w:val="center"/>
            <w:hideMark/>
          </w:tcPr>
          <w:p w14:paraId="20ED5EB5"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Total lost workdays</w:t>
            </w:r>
          </w:p>
        </w:tc>
        <w:tc>
          <w:tcPr>
            <w:tcW w:w="0" w:type="auto"/>
            <w:vAlign w:val="center"/>
            <w:hideMark/>
          </w:tcPr>
          <w:p w14:paraId="4D570119"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5,820 days</w:t>
            </w:r>
          </w:p>
        </w:tc>
      </w:tr>
    </w:tbl>
    <w:p w14:paraId="1A0539B8"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Answer:</w:t>
      </w:r>
      <w:r w:rsidRPr="00EF5186">
        <w:rPr>
          <w:rFonts w:ascii="Times New Roman" w:hAnsi="Times New Roman" w:cs="Times New Roman"/>
        </w:rPr>
        <w:br/>
        <w:t xml:space="preserve">The accidents have cost the company a total estimated amount of USD 5,646,350 based on the </w:t>
      </w:r>
      <w:proofErr w:type="spellStart"/>
      <w:r w:rsidRPr="00EF5186">
        <w:rPr>
          <w:rFonts w:ascii="Times New Roman" w:hAnsi="Times New Roman" w:cs="Times New Roman"/>
        </w:rPr>
        <w:t>Estimated_Cost_USD</w:t>
      </w:r>
      <w:proofErr w:type="spellEnd"/>
      <w:r w:rsidRPr="00EF5186">
        <w:rPr>
          <w:rFonts w:ascii="Times New Roman" w:hAnsi="Times New Roman" w:cs="Times New Roman"/>
        </w:rPr>
        <w:t xml:space="preserve"> values in the provided database.</w:t>
      </w:r>
    </w:p>
    <w:p w14:paraId="5584170B"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This figure represents the quantified accident-related cost recorded in the dataset. Additional indirect costs, such as productivity losses, overtime, downtime, and administrative expenses, are not separately quantified and may increase the company's actual financial impact.</w:t>
      </w:r>
    </w:p>
    <w:p w14:paraId="632850A6" w14:textId="68B9B4E9" w:rsidR="000A175F" w:rsidRPr="00EF5186" w:rsidRDefault="000A175F">
      <w:pPr>
        <w:rPr>
          <w:rFonts w:ascii="Times New Roman" w:hAnsi="Times New Roman" w:cs="Times New Roman"/>
        </w:rPr>
      </w:pPr>
      <w:r w:rsidRPr="00EF5186">
        <w:rPr>
          <w:rFonts w:ascii="Times New Roman" w:hAnsi="Times New Roman" w:cs="Times New Roman"/>
        </w:rPr>
        <w:t>2)Which specific job site is having the most accidents, and why?</w:t>
      </w:r>
    </w:p>
    <w:p w14:paraId="1B539EEC"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2) Job Site with the Highest Number of Accidents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911"/>
        <w:gridCol w:w="1980"/>
        <w:gridCol w:w="1464"/>
        <w:gridCol w:w="2089"/>
      </w:tblGrid>
      <w:tr w:rsidR="000A175F" w:rsidRPr="00EF5186" w14:paraId="0D267EE1" w14:textId="77777777">
        <w:trPr>
          <w:tblHeader/>
          <w:tblCellSpacing w:w="15" w:type="dxa"/>
        </w:trPr>
        <w:tc>
          <w:tcPr>
            <w:tcW w:w="0" w:type="auto"/>
            <w:vAlign w:val="center"/>
            <w:hideMark/>
          </w:tcPr>
          <w:p w14:paraId="720491BB"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Rank</w:t>
            </w:r>
          </w:p>
        </w:tc>
        <w:tc>
          <w:tcPr>
            <w:tcW w:w="0" w:type="auto"/>
            <w:vAlign w:val="center"/>
            <w:hideMark/>
          </w:tcPr>
          <w:p w14:paraId="3457B682"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Project Site</w:t>
            </w:r>
          </w:p>
        </w:tc>
        <w:tc>
          <w:tcPr>
            <w:tcW w:w="0" w:type="auto"/>
            <w:vAlign w:val="center"/>
            <w:hideMark/>
          </w:tcPr>
          <w:p w14:paraId="24017192"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Number of Accidents</w:t>
            </w:r>
          </w:p>
        </w:tc>
        <w:tc>
          <w:tcPr>
            <w:tcW w:w="0" w:type="auto"/>
            <w:vAlign w:val="center"/>
            <w:hideMark/>
          </w:tcPr>
          <w:p w14:paraId="666EA76F"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Total Days Lost</w:t>
            </w:r>
          </w:p>
        </w:tc>
        <w:tc>
          <w:tcPr>
            <w:tcW w:w="0" w:type="auto"/>
            <w:vAlign w:val="center"/>
            <w:hideMark/>
          </w:tcPr>
          <w:p w14:paraId="3E1A2C69"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Estimated Cost (USD)</w:t>
            </w:r>
          </w:p>
        </w:tc>
      </w:tr>
      <w:tr w:rsidR="000A175F" w:rsidRPr="00EF5186" w14:paraId="5974A278" w14:textId="77777777">
        <w:trPr>
          <w:tblCellSpacing w:w="15" w:type="dxa"/>
        </w:trPr>
        <w:tc>
          <w:tcPr>
            <w:tcW w:w="0" w:type="auto"/>
            <w:vAlign w:val="center"/>
            <w:hideMark/>
          </w:tcPr>
          <w:p w14:paraId="18DE4333"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1</w:t>
            </w:r>
          </w:p>
        </w:tc>
        <w:tc>
          <w:tcPr>
            <w:tcW w:w="0" w:type="auto"/>
            <w:vAlign w:val="center"/>
            <w:hideMark/>
          </w:tcPr>
          <w:p w14:paraId="21C4BD9E"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 xml:space="preserve">City </w:t>
            </w:r>
            <w:proofErr w:type="spellStart"/>
            <w:r w:rsidRPr="00EF5186">
              <w:rPr>
                <w:rFonts w:ascii="Times New Roman" w:hAnsi="Times New Roman" w:cs="Times New Roman"/>
              </w:rPr>
              <w:t>Center</w:t>
            </w:r>
            <w:proofErr w:type="spellEnd"/>
            <w:r w:rsidRPr="00EF5186">
              <w:rPr>
                <w:rFonts w:ascii="Times New Roman" w:hAnsi="Times New Roman" w:cs="Times New Roman"/>
              </w:rPr>
              <w:t xml:space="preserve"> Commercial Hub</w:t>
            </w:r>
          </w:p>
        </w:tc>
        <w:tc>
          <w:tcPr>
            <w:tcW w:w="0" w:type="auto"/>
            <w:vAlign w:val="center"/>
            <w:hideMark/>
          </w:tcPr>
          <w:p w14:paraId="13AB11D2"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31</w:t>
            </w:r>
          </w:p>
        </w:tc>
        <w:tc>
          <w:tcPr>
            <w:tcW w:w="0" w:type="auto"/>
            <w:vAlign w:val="center"/>
            <w:hideMark/>
          </w:tcPr>
          <w:p w14:paraId="24D75A57"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531</w:t>
            </w:r>
          </w:p>
        </w:tc>
        <w:tc>
          <w:tcPr>
            <w:tcW w:w="0" w:type="auto"/>
            <w:vAlign w:val="center"/>
            <w:hideMark/>
          </w:tcPr>
          <w:p w14:paraId="74B18628"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$654,277</w:t>
            </w:r>
          </w:p>
        </w:tc>
      </w:tr>
      <w:tr w:rsidR="000A175F" w:rsidRPr="00EF5186" w14:paraId="74EE5741" w14:textId="77777777">
        <w:trPr>
          <w:tblCellSpacing w:w="15" w:type="dxa"/>
        </w:trPr>
        <w:tc>
          <w:tcPr>
            <w:tcW w:w="0" w:type="auto"/>
            <w:vAlign w:val="center"/>
            <w:hideMark/>
          </w:tcPr>
          <w:p w14:paraId="6A89ABD5"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1</w:t>
            </w:r>
          </w:p>
        </w:tc>
        <w:tc>
          <w:tcPr>
            <w:tcW w:w="0" w:type="auto"/>
            <w:vAlign w:val="center"/>
            <w:hideMark/>
          </w:tcPr>
          <w:p w14:paraId="3E920D34"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Harbor Bridge Extension</w:t>
            </w:r>
          </w:p>
        </w:tc>
        <w:tc>
          <w:tcPr>
            <w:tcW w:w="0" w:type="auto"/>
            <w:vAlign w:val="center"/>
            <w:hideMark/>
          </w:tcPr>
          <w:p w14:paraId="04116347"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31</w:t>
            </w:r>
          </w:p>
        </w:tc>
        <w:tc>
          <w:tcPr>
            <w:tcW w:w="0" w:type="auto"/>
            <w:vAlign w:val="center"/>
            <w:hideMark/>
          </w:tcPr>
          <w:p w14:paraId="2A1A5709"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926</w:t>
            </w:r>
          </w:p>
        </w:tc>
        <w:tc>
          <w:tcPr>
            <w:tcW w:w="0" w:type="auto"/>
            <w:vAlign w:val="center"/>
            <w:hideMark/>
          </w:tcPr>
          <w:p w14:paraId="4F89CF9B"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$830,771</w:t>
            </w:r>
          </w:p>
        </w:tc>
      </w:tr>
      <w:tr w:rsidR="000A175F" w:rsidRPr="00EF5186" w14:paraId="4648AD93" w14:textId="77777777">
        <w:trPr>
          <w:tblCellSpacing w:w="15" w:type="dxa"/>
        </w:trPr>
        <w:tc>
          <w:tcPr>
            <w:tcW w:w="0" w:type="auto"/>
            <w:vAlign w:val="center"/>
            <w:hideMark/>
          </w:tcPr>
          <w:p w14:paraId="769652AB"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3</w:t>
            </w:r>
          </w:p>
        </w:tc>
        <w:tc>
          <w:tcPr>
            <w:tcW w:w="0" w:type="auto"/>
            <w:vAlign w:val="center"/>
            <w:hideMark/>
          </w:tcPr>
          <w:p w14:paraId="7FEE6646"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Apex Towers High-Rise</w:t>
            </w:r>
          </w:p>
        </w:tc>
        <w:tc>
          <w:tcPr>
            <w:tcW w:w="0" w:type="auto"/>
            <w:vAlign w:val="center"/>
            <w:hideMark/>
          </w:tcPr>
          <w:p w14:paraId="77D68AE1"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30</w:t>
            </w:r>
          </w:p>
        </w:tc>
        <w:tc>
          <w:tcPr>
            <w:tcW w:w="0" w:type="auto"/>
            <w:vAlign w:val="center"/>
            <w:hideMark/>
          </w:tcPr>
          <w:p w14:paraId="7C9AD8E3"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656</w:t>
            </w:r>
          </w:p>
        </w:tc>
        <w:tc>
          <w:tcPr>
            <w:tcW w:w="0" w:type="auto"/>
            <w:vAlign w:val="center"/>
            <w:hideMark/>
          </w:tcPr>
          <w:p w14:paraId="5B7F861B"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$750,757</w:t>
            </w:r>
          </w:p>
        </w:tc>
      </w:tr>
      <w:tr w:rsidR="000A175F" w:rsidRPr="00EF5186" w14:paraId="5B76591A" w14:textId="77777777">
        <w:trPr>
          <w:tblCellSpacing w:w="15" w:type="dxa"/>
        </w:trPr>
        <w:tc>
          <w:tcPr>
            <w:tcW w:w="0" w:type="auto"/>
            <w:vAlign w:val="center"/>
            <w:hideMark/>
          </w:tcPr>
          <w:p w14:paraId="6D37AC3A"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3</w:t>
            </w:r>
          </w:p>
        </w:tc>
        <w:tc>
          <w:tcPr>
            <w:tcW w:w="0" w:type="auto"/>
            <w:vAlign w:val="center"/>
            <w:hideMark/>
          </w:tcPr>
          <w:p w14:paraId="0BD72662"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Grand Vista Luxury Apartments</w:t>
            </w:r>
          </w:p>
        </w:tc>
        <w:tc>
          <w:tcPr>
            <w:tcW w:w="0" w:type="auto"/>
            <w:vAlign w:val="center"/>
            <w:hideMark/>
          </w:tcPr>
          <w:p w14:paraId="57E83413"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30</w:t>
            </w:r>
          </w:p>
        </w:tc>
        <w:tc>
          <w:tcPr>
            <w:tcW w:w="0" w:type="auto"/>
            <w:vAlign w:val="center"/>
            <w:hideMark/>
          </w:tcPr>
          <w:p w14:paraId="022298C5"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455</w:t>
            </w:r>
          </w:p>
        </w:tc>
        <w:tc>
          <w:tcPr>
            <w:tcW w:w="0" w:type="auto"/>
            <w:vAlign w:val="center"/>
            <w:hideMark/>
          </w:tcPr>
          <w:p w14:paraId="044B6535"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$428,891</w:t>
            </w:r>
          </w:p>
        </w:tc>
      </w:tr>
      <w:tr w:rsidR="000A175F" w:rsidRPr="00EF5186" w14:paraId="77EF419B" w14:textId="77777777">
        <w:trPr>
          <w:tblCellSpacing w:w="15" w:type="dxa"/>
        </w:trPr>
        <w:tc>
          <w:tcPr>
            <w:tcW w:w="0" w:type="auto"/>
            <w:vAlign w:val="center"/>
            <w:hideMark/>
          </w:tcPr>
          <w:p w14:paraId="664529C7"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3</w:t>
            </w:r>
          </w:p>
        </w:tc>
        <w:tc>
          <w:tcPr>
            <w:tcW w:w="0" w:type="auto"/>
            <w:vAlign w:val="center"/>
            <w:hideMark/>
          </w:tcPr>
          <w:p w14:paraId="0660A511"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Tech Park Office Complex</w:t>
            </w:r>
          </w:p>
        </w:tc>
        <w:tc>
          <w:tcPr>
            <w:tcW w:w="0" w:type="auto"/>
            <w:vAlign w:val="center"/>
            <w:hideMark/>
          </w:tcPr>
          <w:p w14:paraId="44A9349F"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30</w:t>
            </w:r>
          </w:p>
        </w:tc>
        <w:tc>
          <w:tcPr>
            <w:tcW w:w="0" w:type="auto"/>
            <w:vAlign w:val="center"/>
            <w:hideMark/>
          </w:tcPr>
          <w:p w14:paraId="2A54A17D"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885</w:t>
            </w:r>
          </w:p>
        </w:tc>
        <w:tc>
          <w:tcPr>
            <w:tcW w:w="0" w:type="auto"/>
            <w:vAlign w:val="center"/>
            <w:hideMark/>
          </w:tcPr>
          <w:p w14:paraId="0BC3F734"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$701,776</w:t>
            </w:r>
          </w:p>
        </w:tc>
      </w:tr>
    </w:tbl>
    <w:p w14:paraId="30B4CE98"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Key Findings</w:t>
      </w:r>
    </w:p>
    <w:p w14:paraId="23667DA7" w14:textId="77777777" w:rsidR="000A175F" w:rsidRPr="00EF5186" w:rsidRDefault="000A175F" w:rsidP="000A175F">
      <w:pPr>
        <w:numPr>
          <w:ilvl w:val="0"/>
          <w:numId w:val="2"/>
        </w:numPr>
        <w:rPr>
          <w:rFonts w:ascii="Times New Roman" w:hAnsi="Times New Roman" w:cs="Times New Roman"/>
        </w:rPr>
      </w:pPr>
      <w:r w:rsidRPr="00EF5186">
        <w:rPr>
          <w:rFonts w:ascii="Times New Roman" w:hAnsi="Times New Roman" w:cs="Times New Roman"/>
        </w:rPr>
        <w:t xml:space="preserve">City </w:t>
      </w:r>
      <w:proofErr w:type="spellStart"/>
      <w:r w:rsidRPr="00EF5186">
        <w:rPr>
          <w:rFonts w:ascii="Times New Roman" w:hAnsi="Times New Roman" w:cs="Times New Roman"/>
        </w:rPr>
        <w:t>Center</w:t>
      </w:r>
      <w:proofErr w:type="spellEnd"/>
      <w:r w:rsidRPr="00EF5186">
        <w:rPr>
          <w:rFonts w:ascii="Times New Roman" w:hAnsi="Times New Roman" w:cs="Times New Roman"/>
        </w:rPr>
        <w:t xml:space="preserve"> Commercial Hub and Harbor Bridge Extension have the highest number of accidents, with 31 incidents each.</w:t>
      </w:r>
    </w:p>
    <w:p w14:paraId="2DEF40BE" w14:textId="77777777" w:rsidR="000A175F" w:rsidRPr="00EF5186" w:rsidRDefault="000A175F" w:rsidP="000A175F">
      <w:pPr>
        <w:numPr>
          <w:ilvl w:val="0"/>
          <w:numId w:val="2"/>
        </w:numPr>
        <w:rPr>
          <w:rFonts w:ascii="Times New Roman" w:hAnsi="Times New Roman" w:cs="Times New Roman"/>
        </w:rPr>
      </w:pPr>
      <w:r w:rsidRPr="00EF5186">
        <w:rPr>
          <w:rFonts w:ascii="Times New Roman" w:hAnsi="Times New Roman" w:cs="Times New Roman"/>
        </w:rPr>
        <w:t>Although both sites have the same number of accidents, Harbor Bridge Extension has a considerably greater impact, with:</w:t>
      </w:r>
    </w:p>
    <w:p w14:paraId="4E938107" w14:textId="77777777" w:rsidR="000A175F" w:rsidRPr="00EF5186" w:rsidRDefault="000A175F" w:rsidP="000A175F">
      <w:pPr>
        <w:numPr>
          <w:ilvl w:val="1"/>
          <w:numId w:val="2"/>
        </w:numPr>
        <w:rPr>
          <w:rFonts w:ascii="Times New Roman" w:hAnsi="Times New Roman" w:cs="Times New Roman"/>
        </w:rPr>
      </w:pPr>
      <w:r w:rsidRPr="00EF5186">
        <w:rPr>
          <w:rFonts w:ascii="Times New Roman" w:hAnsi="Times New Roman" w:cs="Times New Roman"/>
        </w:rPr>
        <w:t>926 lost workdays</w:t>
      </w:r>
    </w:p>
    <w:p w14:paraId="0BC9D8BD" w14:textId="77777777" w:rsidR="000A175F" w:rsidRPr="00EF5186" w:rsidRDefault="000A175F" w:rsidP="000A175F">
      <w:pPr>
        <w:numPr>
          <w:ilvl w:val="1"/>
          <w:numId w:val="2"/>
        </w:numPr>
        <w:rPr>
          <w:rFonts w:ascii="Times New Roman" w:hAnsi="Times New Roman" w:cs="Times New Roman"/>
        </w:rPr>
      </w:pPr>
      <w:r w:rsidRPr="00EF5186">
        <w:rPr>
          <w:rFonts w:ascii="Times New Roman" w:hAnsi="Times New Roman" w:cs="Times New Roman"/>
        </w:rPr>
        <w:t>USD 830,771 estimated accident cost</w:t>
      </w:r>
    </w:p>
    <w:p w14:paraId="598C936A" w14:textId="77777777" w:rsidR="000A175F" w:rsidRPr="00EF5186" w:rsidRDefault="000A175F" w:rsidP="000A175F">
      <w:pPr>
        <w:numPr>
          <w:ilvl w:val="0"/>
          <w:numId w:val="2"/>
        </w:numPr>
        <w:rPr>
          <w:rFonts w:ascii="Times New Roman" w:hAnsi="Times New Roman" w:cs="Times New Roman"/>
        </w:rPr>
      </w:pPr>
      <w:r w:rsidRPr="00EF5186">
        <w:rPr>
          <w:rFonts w:ascii="Times New Roman" w:hAnsi="Times New Roman" w:cs="Times New Roman"/>
        </w:rPr>
        <w:lastRenderedPageBreak/>
        <w:t>The database indicates that the higher accident frequency should be investigated in relation to root causes, worker experience, work activities, severity levels, and environmental conditions.</w:t>
      </w:r>
    </w:p>
    <w:p w14:paraId="010031AA" w14:textId="77777777" w:rsidR="000A175F" w:rsidRPr="00EF5186" w:rsidRDefault="000A175F" w:rsidP="000A175F">
      <w:pPr>
        <w:numPr>
          <w:ilvl w:val="0"/>
          <w:numId w:val="2"/>
        </w:numPr>
        <w:rPr>
          <w:rFonts w:ascii="Times New Roman" w:hAnsi="Times New Roman" w:cs="Times New Roman"/>
        </w:rPr>
      </w:pPr>
      <w:r w:rsidRPr="00EF5186">
        <w:rPr>
          <w:rFonts w:ascii="Times New Roman" w:hAnsi="Times New Roman" w:cs="Times New Roman"/>
        </w:rPr>
        <w:t>For Harbor Bridge Extension, the high number of lost workdays and financial cost suggests that its incidents may be more severe, rather than simply more frequent.</w:t>
      </w:r>
    </w:p>
    <w:p w14:paraId="7F7DE64D" w14:textId="77777777" w:rsidR="000A175F" w:rsidRPr="00EF5186" w:rsidRDefault="000A175F" w:rsidP="000A175F">
      <w:pPr>
        <w:numPr>
          <w:ilvl w:val="0"/>
          <w:numId w:val="2"/>
        </w:numPr>
        <w:rPr>
          <w:rFonts w:ascii="Times New Roman" w:hAnsi="Times New Roman" w:cs="Times New Roman"/>
        </w:rPr>
      </w:pPr>
      <w:r w:rsidRPr="00EF5186">
        <w:rPr>
          <w:rFonts w:ascii="Times New Roman" w:hAnsi="Times New Roman" w:cs="Times New Roman"/>
        </w:rPr>
        <w:t xml:space="preserve">Therefore, Harbor Bridge Extension should be given the highest priority for detailed safety investigation and corrective action, despite having the same accident count as City </w:t>
      </w:r>
      <w:proofErr w:type="spellStart"/>
      <w:r w:rsidRPr="00EF5186">
        <w:rPr>
          <w:rFonts w:ascii="Times New Roman" w:hAnsi="Times New Roman" w:cs="Times New Roman"/>
        </w:rPr>
        <w:t>Center</w:t>
      </w:r>
      <w:proofErr w:type="spellEnd"/>
      <w:r w:rsidRPr="00EF5186">
        <w:rPr>
          <w:rFonts w:ascii="Times New Roman" w:hAnsi="Times New Roman" w:cs="Times New Roman"/>
        </w:rPr>
        <w:t xml:space="preserve"> Commercial Hub.</w:t>
      </w:r>
    </w:p>
    <w:p w14:paraId="1BF903E0"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Professional conclusion:</w:t>
      </w:r>
    </w:p>
    <w:p w14:paraId="3B16569B"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 xml:space="preserve">The highest accident frequency is recorded at both City </w:t>
      </w:r>
      <w:proofErr w:type="spellStart"/>
      <w:r w:rsidRPr="00EF5186">
        <w:rPr>
          <w:rFonts w:ascii="Times New Roman" w:hAnsi="Times New Roman" w:cs="Times New Roman"/>
        </w:rPr>
        <w:t>Center</w:t>
      </w:r>
      <w:proofErr w:type="spellEnd"/>
      <w:r w:rsidRPr="00EF5186">
        <w:rPr>
          <w:rFonts w:ascii="Times New Roman" w:hAnsi="Times New Roman" w:cs="Times New Roman"/>
        </w:rPr>
        <w:t xml:space="preserve"> Commercial Hub and Harbor Bridge Extension (31 accidents each). However, Harbor Bridge Extension represents the greater safety and financial concern because its incidents resulted in 926 lost workdays and an estimated cost of USD 830,771.</w:t>
      </w:r>
    </w:p>
    <w:p w14:paraId="2D3F8F00" w14:textId="009DB6B9" w:rsidR="000A175F" w:rsidRPr="00EF5186" w:rsidRDefault="000A175F">
      <w:pPr>
        <w:rPr>
          <w:rFonts w:ascii="Times New Roman" w:hAnsi="Times New Roman" w:cs="Times New Roman"/>
        </w:rPr>
      </w:pPr>
      <w:r w:rsidRPr="00EF5186">
        <w:rPr>
          <w:rFonts w:ascii="Times New Roman" w:hAnsi="Times New Roman" w:cs="Times New Roman"/>
        </w:rPr>
        <w:t>3)Are our own employees getting hurt, or is it mostly outside contractors?</w:t>
      </w:r>
    </w:p>
    <w:p w14:paraId="55BBD1BD" w14:textId="0132A69C" w:rsidR="000A175F" w:rsidRPr="00EF5186" w:rsidRDefault="000A175F" w:rsidP="000A175F">
      <w:pPr>
        <w:rPr>
          <w:rFonts w:ascii="Times New Roman" w:hAnsi="Times New Roman" w:cs="Times New Roman"/>
        </w:rPr>
      </w:pPr>
      <w:r w:rsidRPr="00EF5186">
        <w:rPr>
          <w:rFonts w:ascii="Times New Roman" w:hAnsi="Times New Roman" w:cs="Times New Roman"/>
        </w:rPr>
        <w:t xml:space="preserve"> Are our own employees getting hurt, or is it mostly outside contractors?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1936"/>
        <w:gridCol w:w="2193"/>
        <w:gridCol w:w="996"/>
        <w:gridCol w:w="2127"/>
      </w:tblGrid>
      <w:tr w:rsidR="000A175F" w:rsidRPr="00EF5186" w14:paraId="26975D55" w14:textId="77777777">
        <w:trPr>
          <w:tblHeader/>
          <w:tblCellSpacing w:w="15" w:type="dxa"/>
        </w:trPr>
        <w:tc>
          <w:tcPr>
            <w:tcW w:w="0" w:type="auto"/>
            <w:vAlign w:val="center"/>
            <w:hideMark/>
          </w:tcPr>
          <w:p w14:paraId="216A18C1"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Worker Category</w:t>
            </w:r>
          </w:p>
        </w:tc>
        <w:tc>
          <w:tcPr>
            <w:tcW w:w="0" w:type="auto"/>
            <w:vAlign w:val="center"/>
            <w:hideMark/>
          </w:tcPr>
          <w:p w14:paraId="7E445676"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Number of Incidents</w:t>
            </w:r>
          </w:p>
        </w:tc>
        <w:tc>
          <w:tcPr>
            <w:tcW w:w="0" w:type="auto"/>
            <w:vAlign w:val="center"/>
            <w:hideMark/>
          </w:tcPr>
          <w:p w14:paraId="1EB5EF78"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Percentage of Incidents</w:t>
            </w:r>
          </w:p>
        </w:tc>
        <w:tc>
          <w:tcPr>
            <w:tcW w:w="0" w:type="auto"/>
            <w:vAlign w:val="center"/>
            <w:hideMark/>
          </w:tcPr>
          <w:p w14:paraId="44B09926"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Days Lost</w:t>
            </w:r>
          </w:p>
        </w:tc>
        <w:tc>
          <w:tcPr>
            <w:tcW w:w="0" w:type="auto"/>
            <w:vAlign w:val="center"/>
            <w:hideMark/>
          </w:tcPr>
          <w:p w14:paraId="45F01661"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Estimated Cost (USD)</w:t>
            </w:r>
          </w:p>
        </w:tc>
      </w:tr>
      <w:tr w:rsidR="000A175F" w:rsidRPr="00EF5186" w14:paraId="44D23B7A" w14:textId="77777777">
        <w:trPr>
          <w:tblCellSpacing w:w="15" w:type="dxa"/>
        </w:trPr>
        <w:tc>
          <w:tcPr>
            <w:tcW w:w="0" w:type="auto"/>
            <w:vAlign w:val="center"/>
            <w:hideMark/>
          </w:tcPr>
          <w:p w14:paraId="17E45468"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Direct Employees</w:t>
            </w:r>
          </w:p>
        </w:tc>
        <w:tc>
          <w:tcPr>
            <w:tcW w:w="0" w:type="auto"/>
            <w:vAlign w:val="center"/>
            <w:hideMark/>
          </w:tcPr>
          <w:p w14:paraId="2D86DB0C"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73</w:t>
            </w:r>
          </w:p>
        </w:tc>
        <w:tc>
          <w:tcPr>
            <w:tcW w:w="0" w:type="auto"/>
            <w:vAlign w:val="center"/>
            <w:hideMark/>
          </w:tcPr>
          <w:p w14:paraId="298E16DB"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29.2%</w:t>
            </w:r>
          </w:p>
        </w:tc>
        <w:tc>
          <w:tcPr>
            <w:tcW w:w="0" w:type="auto"/>
            <w:vAlign w:val="center"/>
            <w:hideMark/>
          </w:tcPr>
          <w:p w14:paraId="4B0F8B93"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1,425</w:t>
            </w:r>
          </w:p>
        </w:tc>
        <w:tc>
          <w:tcPr>
            <w:tcW w:w="0" w:type="auto"/>
            <w:vAlign w:val="center"/>
            <w:hideMark/>
          </w:tcPr>
          <w:p w14:paraId="2E6A7333"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$1,440,147</w:t>
            </w:r>
          </w:p>
        </w:tc>
      </w:tr>
      <w:tr w:rsidR="000A175F" w:rsidRPr="00EF5186" w14:paraId="37DB1A0A" w14:textId="77777777">
        <w:trPr>
          <w:tblCellSpacing w:w="15" w:type="dxa"/>
        </w:trPr>
        <w:tc>
          <w:tcPr>
            <w:tcW w:w="0" w:type="auto"/>
            <w:vAlign w:val="center"/>
            <w:hideMark/>
          </w:tcPr>
          <w:p w14:paraId="504089E4"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Subcontractors</w:t>
            </w:r>
          </w:p>
        </w:tc>
        <w:tc>
          <w:tcPr>
            <w:tcW w:w="0" w:type="auto"/>
            <w:vAlign w:val="center"/>
            <w:hideMark/>
          </w:tcPr>
          <w:p w14:paraId="56F6D01C"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177</w:t>
            </w:r>
          </w:p>
        </w:tc>
        <w:tc>
          <w:tcPr>
            <w:tcW w:w="0" w:type="auto"/>
            <w:vAlign w:val="center"/>
            <w:hideMark/>
          </w:tcPr>
          <w:p w14:paraId="559AABAB"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70.8%</w:t>
            </w:r>
          </w:p>
        </w:tc>
        <w:tc>
          <w:tcPr>
            <w:tcW w:w="0" w:type="auto"/>
            <w:vAlign w:val="center"/>
            <w:hideMark/>
          </w:tcPr>
          <w:p w14:paraId="29B8B5BC"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4,395</w:t>
            </w:r>
          </w:p>
        </w:tc>
        <w:tc>
          <w:tcPr>
            <w:tcW w:w="0" w:type="auto"/>
            <w:vAlign w:val="center"/>
            <w:hideMark/>
          </w:tcPr>
          <w:p w14:paraId="2E20B561"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$4,206,203</w:t>
            </w:r>
          </w:p>
        </w:tc>
      </w:tr>
      <w:tr w:rsidR="000A175F" w:rsidRPr="00EF5186" w14:paraId="725D89B4" w14:textId="77777777">
        <w:trPr>
          <w:tblCellSpacing w:w="15" w:type="dxa"/>
        </w:trPr>
        <w:tc>
          <w:tcPr>
            <w:tcW w:w="0" w:type="auto"/>
            <w:vAlign w:val="center"/>
            <w:hideMark/>
          </w:tcPr>
          <w:p w14:paraId="6B82B644"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Total</w:t>
            </w:r>
          </w:p>
        </w:tc>
        <w:tc>
          <w:tcPr>
            <w:tcW w:w="0" w:type="auto"/>
            <w:vAlign w:val="center"/>
            <w:hideMark/>
          </w:tcPr>
          <w:p w14:paraId="1097373B"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250</w:t>
            </w:r>
          </w:p>
        </w:tc>
        <w:tc>
          <w:tcPr>
            <w:tcW w:w="0" w:type="auto"/>
            <w:vAlign w:val="center"/>
            <w:hideMark/>
          </w:tcPr>
          <w:p w14:paraId="142E94E6"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100%</w:t>
            </w:r>
          </w:p>
        </w:tc>
        <w:tc>
          <w:tcPr>
            <w:tcW w:w="0" w:type="auto"/>
            <w:vAlign w:val="center"/>
            <w:hideMark/>
          </w:tcPr>
          <w:p w14:paraId="5A12F373"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5,820</w:t>
            </w:r>
          </w:p>
        </w:tc>
        <w:tc>
          <w:tcPr>
            <w:tcW w:w="0" w:type="auto"/>
            <w:vAlign w:val="center"/>
            <w:hideMark/>
          </w:tcPr>
          <w:p w14:paraId="24126FF3"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$5,646,350</w:t>
            </w:r>
          </w:p>
        </w:tc>
      </w:tr>
    </w:tbl>
    <w:p w14:paraId="0978A2B9"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Key Findings</w:t>
      </w:r>
    </w:p>
    <w:p w14:paraId="74074F12" w14:textId="77777777" w:rsidR="000A175F" w:rsidRPr="00EF5186" w:rsidRDefault="000A175F" w:rsidP="000A175F">
      <w:pPr>
        <w:numPr>
          <w:ilvl w:val="0"/>
          <w:numId w:val="3"/>
        </w:numPr>
        <w:rPr>
          <w:rFonts w:ascii="Times New Roman" w:hAnsi="Times New Roman" w:cs="Times New Roman"/>
        </w:rPr>
      </w:pPr>
      <w:r w:rsidRPr="00EF5186">
        <w:rPr>
          <w:rFonts w:ascii="Times New Roman" w:hAnsi="Times New Roman" w:cs="Times New Roman"/>
        </w:rPr>
        <w:t>Subcontractor personnel account for the majority of accidents: 177 out of 250 incidents (70.8%).</w:t>
      </w:r>
    </w:p>
    <w:p w14:paraId="57716AC3" w14:textId="77777777" w:rsidR="000A175F" w:rsidRPr="00EF5186" w:rsidRDefault="000A175F" w:rsidP="000A175F">
      <w:pPr>
        <w:numPr>
          <w:ilvl w:val="0"/>
          <w:numId w:val="3"/>
        </w:numPr>
        <w:rPr>
          <w:rFonts w:ascii="Times New Roman" w:hAnsi="Times New Roman" w:cs="Times New Roman"/>
        </w:rPr>
      </w:pPr>
      <w:r w:rsidRPr="00EF5186">
        <w:rPr>
          <w:rFonts w:ascii="Times New Roman" w:hAnsi="Times New Roman" w:cs="Times New Roman"/>
        </w:rPr>
        <w:t>Direct employees account for 73 incidents (29.2%).</w:t>
      </w:r>
    </w:p>
    <w:p w14:paraId="3519932E" w14:textId="77777777" w:rsidR="000A175F" w:rsidRPr="00EF5186" w:rsidRDefault="000A175F" w:rsidP="000A175F">
      <w:pPr>
        <w:numPr>
          <w:ilvl w:val="0"/>
          <w:numId w:val="3"/>
        </w:numPr>
        <w:rPr>
          <w:rFonts w:ascii="Times New Roman" w:hAnsi="Times New Roman" w:cs="Times New Roman"/>
        </w:rPr>
      </w:pPr>
      <w:r w:rsidRPr="00EF5186">
        <w:rPr>
          <w:rFonts w:ascii="Times New Roman" w:hAnsi="Times New Roman" w:cs="Times New Roman"/>
        </w:rPr>
        <w:t>Subcontractor incidents resulted in 4,395 lost workdays, representing approximately 75.5% of all lost days.</w:t>
      </w:r>
    </w:p>
    <w:p w14:paraId="31302B78" w14:textId="77777777" w:rsidR="000A175F" w:rsidRPr="00EF5186" w:rsidRDefault="000A175F" w:rsidP="000A175F">
      <w:pPr>
        <w:numPr>
          <w:ilvl w:val="0"/>
          <w:numId w:val="3"/>
        </w:numPr>
        <w:rPr>
          <w:rFonts w:ascii="Times New Roman" w:hAnsi="Times New Roman" w:cs="Times New Roman"/>
        </w:rPr>
      </w:pPr>
      <w:r w:rsidRPr="00EF5186">
        <w:rPr>
          <w:rFonts w:ascii="Times New Roman" w:hAnsi="Times New Roman" w:cs="Times New Roman"/>
        </w:rPr>
        <w:t>Subcontractor-related incidents also account for approximately 74.5% of the total estimated accident cost.</w:t>
      </w:r>
    </w:p>
    <w:p w14:paraId="200079AE" w14:textId="77777777" w:rsidR="000A175F" w:rsidRPr="00EF5186" w:rsidRDefault="000A175F" w:rsidP="000A175F">
      <w:pPr>
        <w:numPr>
          <w:ilvl w:val="0"/>
          <w:numId w:val="3"/>
        </w:numPr>
        <w:rPr>
          <w:rFonts w:ascii="Times New Roman" w:hAnsi="Times New Roman" w:cs="Times New Roman"/>
        </w:rPr>
      </w:pPr>
      <w:r w:rsidRPr="00EF5186">
        <w:rPr>
          <w:rFonts w:ascii="Times New Roman" w:hAnsi="Times New Roman" w:cs="Times New Roman"/>
        </w:rPr>
        <w:t>Therefore, the data clearly indicates that outside contractors are experiencing substantially more incidents than the company's direct employees.</w:t>
      </w:r>
    </w:p>
    <w:p w14:paraId="4D48CEF1"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Professional Conclusion</w:t>
      </w:r>
    </w:p>
    <w:p w14:paraId="7D37DF5F"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lastRenderedPageBreak/>
        <w:t>The majority of workplace accidents involve outside subcontractor personnel. With 70.8% of all incidents and approximately 74.5% of the total estimated accident cost attributed to subcontractors, contractor safety management should be a major priority. Management should review contractor selection, safety induction, competency verification, supervision, PPE compliance, toolbox talks, and adherence to the site's safety procedures.</w:t>
      </w:r>
    </w:p>
    <w:p w14:paraId="2E216C79" w14:textId="04E12D76" w:rsidR="000A175F" w:rsidRPr="00EF5186" w:rsidRDefault="000A175F">
      <w:pPr>
        <w:rPr>
          <w:rFonts w:ascii="Times New Roman" w:hAnsi="Times New Roman" w:cs="Times New Roman"/>
        </w:rPr>
      </w:pPr>
      <w:r w:rsidRPr="00EF5186">
        <w:rPr>
          <w:rFonts w:ascii="Times New Roman" w:hAnsi="Times New Roman" w:cs="Times New Roman"/>
        </w:rPr>
        <w:t>4)How many workdays have workers missed because of injuries?</w:t>
      </w:r>
    </w:p>
    <w:p w14:paraId="5FFCBB0F"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4) Total Workdays Lost Due to Injuries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4"/>
        <w:gridCol w:w="1115"/>
      </w:tblGrid>
      <w:tr w:rsidR="000A175F" w:rsidRPr="00EF5186" w14:paraId="2888506B" w14:textId="77777777">
        <w:trPr>
          <w:tblHeader/>
          <w:tblCellSpacing w:w="15" w:type="dxa"/>
        </w:trPr>
        <w:tc>
          <w:tcPr>
            <w:tcW w:w="0" w:type="auto"/>
            <w:vAlign w:val="center"/>
            <w:hideMark/>
          </w:tcPr>
          <w:p w14:paraId="7DA117CC"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Parameter</w:t>
            </w:r>
          </w:p>
        </w:tc>
        <w:tc>
          <w:tcPr>
            <w:tcW w:w="0" w:type="auto"/>
            <w:vAlign w:val="center"/>
            <w:hideMark/>
          </w:tcPr>
          <w:p w14:paraId="281AD5C9"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Result</w:t>
            </w:r>
          </w:p>
        </w:tc>
      </w:tr>
      <w:tr w:rsidR="000A175F" w:rsidRPr="00EF5186" w14:paraId="67CF6359" w14:textId="77777777">
        <w:trPr>
          <w:tblCellSpacing w:w="15" w:type="dxa"/>
        </w:trPr>
        <w:tc>
          <w:tcPr>
            <w:tcW w:w="0" w:type="auto"/>
            <w:vAlign w:val="center"/>
            <w:hideMark/>
          </w:tcPr>
          <w:p w14:paraId="1081EEE4"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Total number of accident/incident records</w:t>
            </w:r>
          </w:p>
        </w:tc>
        <w:tc>
          <w:tcPr>
            <w:tcW w:w="0" w:type="auto"/>
            <w:vAlign w:val="center"/>
            <w:hideMark/>
          </w:tcPr>
          <w:p w14:paraId="63B66862"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250</w:t>
            </w:r>
          </w:p>
        </w:tc>
      </w:tr>
      <w:tr w:rsidR="000A175F" w:rsidRPr="00EF5186" w14:paraId="553BFB44" w14:textId="77777777">
        <w:trPr>
          <w:tblCellSpacing w:w="15" w:type="dxa"/>
        </w:trPr>
        <w:tc>
          <w:tcPr>
            <w:tcW w:w="0" w:type="auto"/>
            <w:vAlign w:val="center"/>
            <w:hideMark/>
          </w:tcPr>
          <w:p w14:paraId="1A232ED1"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Total workdays lost</w:t>
            </w:r>
          </w:p>
        </w:tc>
        <w:tc>
          <w:tcPr>
            <w:tcW w:w="0" w:type="auto"/>
            <w:vAlign w:val="center"/>
            <w:hideMark/>
          </w:tcPr>
          <w:p w14:paraId="52C7C777"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5,820 days</w:t>
            </w:r>
          </w:p>
        </w:tc>
      </w:tr>
      <w:tr w:rsidR="000A175F" w:rsidRPr="00EF5186" w14:paraId="05523146" w14:textId="77777777">
        <w:trPr>
          <w:tblCellSpacing w:w="15" w:type="dxa"/>
        </w:trPr>
        <w:tc>
          <w:tcPr>
            <w:tcW w:w="0" w:type="auto"/>
            <w:vAlign w:val="center"/>
            <w:hideMark/>
          </w:tcPr>
          <w:p w14:paraId="79235423"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Average workdays lost per incident</w:t>
            </w:r>
          </w:p>
        </w:tc>
        <w:tc>
          <w:tcPr>
            <w:tcW w:w="0" w:type="auto"/>
            <w:vAlign w:val="center"/>
            <w:hideMark/>
          </w:tcPr>
          <w:p w14:paraId="5B5FCD42"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23.28 days</w:t>
            </w:r>
          </w:p>
        </w:tc>
      </w:tr>
    </w:tbl>
    <w:p w14:paraId="3D390B2B"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Key Findings</w:t>
      </w:r>
    </w:p>
    <w:p w14:paraId="506E4810" w14:textId="77777777" w:rsidR="000A175F" w:rsidRPr="00EF5186" w:rsidRDefault="000A175F" w:rsidP="000A175F">
      <w:pPr>
        <w:numPr>
          <w:ilvl w:val="0"/>
          <w:numId w:val="4"/>
        </w:numPr>
        <w:rPr>
          <w:rFonts w:ascii="Times New Roman" w:hAnsi="Times New Roman" w:cs="Times New Roman"/>
        </w:rPr>
      </w:pPr>
      <w:r w:rsidRPr="00EF5186">
        <w:rPr>
          <w:rFonts w:ascii="Times New Roman" w:hAnsi="Times New Roman" w:cs="Times New Roman"/>
        </w:rPr>
        <w:t>Workers have missed a total of 5,820 workdays due to injuries recorded in the database.</w:t>
      </w:r>
    </w:p>
    <w:p w14:paraId="31CF66AE" w14:textId="77777777" w:rsidR="000A175F" w:rsidRPr="00EF5186" w:rsidRDefault="000A175F" w:rsidP="000A175F">
      <w:pPr>
        <w:numPr>
          <w:ilvl w:val="0"/>
          <w:numId w:val="4"/>
        </w:numPr>
        <w:rPr>
          <w:rFonts w:ascii="Times New Roman" w:hAnsi="Times New Roman" w:cs="Times New Roman"/>
        </w:rPr>
      </w:pPr>
      <w:r w:rsidRPr="00EF5186">
        <w:rPr>
          <w:rFonts w:ascii="Times New Roman" w:hAnsi="Times New Roman" w:cs="Times New Roman"/>
        </w:rPr>
        <w:t>This represents a significant loss of workforce availability and productivity.</w:t>
      </w:r>
    </w:p>
    <w:p w14:paraId="7CA2E505" w14:textId="77777777" w:rsidR="000A175F" w:rsidRPr="00EF5186" w:rsidRDefault="000A175F" w:rsidP="000A175F">
      <w:pPr>
        <w:numPr>
          <w:ilvl w:val="0"/>
          <w:numId w:val="4"/>
        </w:numPr>
        <w:rPr>
          <w:rFonts w:ascii="Times New Roman" w:hAnsi="Times New Roman" w:cs="Times New Roman"/>
        </w:rPr>
      </w:pPr>
      <w:r w:rsidRPr="00EF5186">
        <w:rPr>
          <w:rFonts w:ascii="Times New Roman" w:hAnsi="Times New Roman" w:cs="Times New Roman"/>
        </w:rPr>
        <w:t>The average injury-related absence is approximately 23.28 workdays per incident.</w:t>
      </w:r>
    </w:p>
    <w:p w14:paraId="1038D96B" w14:textId="77777777" w:rsidR="000A175F" w:rsidRPr="00EF5186" w:rsidRDefault="000A175F" w:rsidP="000A175F">
      <w:pPr>
        <w:numPr>
          <w:ilvl w:val="0"/>
          <w:numId w:val="4"/>
        </w:numPr>
        <w:rPr>
          <w:rFonts w:ascii="Times New Roman" w:hAnsi="Times New Roman" w:cs="Times New Roman"/>
        </w:rPr>
      </w:pPr>
      <w:r w:rsidRPr="00EF5186">
        <w:rPr>
          <w:rFonts w:ascii="Times New Roman" w:hAnsi="Times New Roman" w:cs="Times New Roman"/>
        </w:rPr>
        <w:t>The lost workdays also indicate an indirect operational impact through reduced productivity, workforce replacement, and potential overtime requirements.</w:t>
      </w:r>
    </w:p>
    <w:p w14:paraId="6FF9A739"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Professional Conclusion</w:t>
      </w:r>
    </w:p>
    <w:p w14:paraId="57912F3D" w14:textId="77777777" w:rsidR="000A175F" w:rsidRPr="00EF5186" w:rsidRDefault="000A175F" w:rsidP="000A175F">
      <w:pPr>
        <w:rPr>
          <w:rFonts w:ascii="Times New Roman" w:hAnsi="Times New Roman" w:cs="Times New Roman"/>
        </w:rPr>
      </w:pPr>
      <w:r w:rsidRPr="00EF5186">
        <w:rPr>
          <w:rFonts w:ascii="Times New Roman" w:hAnsi="Times New Roman" w:cs="Times New Roman"/>
        </w:rPr>
        <w:t xml:space="preserve">A total of 5,820 workdays </w:t>
      </w:r>
      <w:proofErr w:type="gramStart"/>
      <w:r w:rsidRPr="00EF5186">
        <w:rPr>
          <w:rFonts w:ascii="Times New Roman" w:hAnsi="Times New Roman" w:cs="Times New Roman"/>
        </w:rPr>
        <w:t>have</w:t>
      </w:r>
      <w:proofErr w:type="gramEnd"/>
      <w:r w:rsidRPr="00EF5186">
        <w:rPr>
          <w:rFonts w:ascii="Times New Roman" w:hAnsi="Times New Roman" w:cs="Times New Roman"/>
        </w:rPr>
        <w:t xml:space="preserve"> been lost due to workplace injuries. This figure represents a substantial productivity impact and highlights the need for stronger preventive measures, particularly for activities and sites associated with higher injury severity.</w:t>
      </w:r>
    </w:p>
    <w:p w14:paraId="6C08BF3F" w14:textId="77777777" w:rsidR="005851D9" w:rsidRPr="00EF5186" w:rsidRDefault="005851D9" w:rsidP="000A175F">
      <w:pPr>
        <w:rPr>
          <w:rFonts w:ascii="Times New Roman" w:hAnsi="Times New Roman" w:cs="Times New Roman"/>
        </w:rPr>
      </w:pPr>
    </w:p>
    <w:p w14:paraId="0D7A03BA" w14:textId="77777777" w:rsidR="005851D9" w:rsidRPr="00EF5186" w:rsidRDefault="005851D9" w:rsidP="000A175F">
      <w:pPr>
        <w:rPr>
          <w:rFonts w:ascii="Times New Roman" w:hAnsi="Times New Roman" w:cs="Times New Roman"/>
        </w:rPr>
      </w:pPr>
    </w:p>
    <w:p w14:paraId="65F770A4" w14:textId="77777777" w:rsidR="005851D9" w:rsidRPr="00EF5186" w:rsidRDefault="005851D9" w:rsidP="000A175F">
      <w:pPr>
        <w:rPr>
          <w:rFonts w:ascii="Times New Roman" w:hAnsi="Times New Roman" w:cs="Times New Roman"/>
        </w:rPr>
      </w:pPr>
    </w:p>
    <w:p w14:paraId="5F9ADB85" w14:textId="544E4296" w:rsidR="005851D9" w:rsidRPr="00EF5186" w:rsidRDefault="005851D9" w:rsidP="000A175F">
      <w:pPr>
        <w:rPr>
          <w:rFonts w:ascii="Times New Roman" w:hAnsi="Times New Roman" w:cs="Times New Roman"/>
        </w:rPr>
      </w:pPr>
      <w:r w:rsidRPr="00EF5186">
        <w:rPr>
          <w:rFonts w:ascii="Times New Roman" w:hAnsi="Times New Roman" w:cs="Times New Roman"/>
        </w:rPr>
        <w:t>4)Will investing in new safety technology save us money in the long run?</w:t>
      </w:r>
    </w:p>
    <w:p w14:paraId="33ECB392" w14:textId="77777777" w:rsidR="005851D9" w:rsidRPr="00EF5186" w:rsidRDefault="005851D9" w:rsidP="005851D9">
      <w:pPr>
        <w:rPr>
          <w:rFonts w:ascii="Times New Roman" w:hAnsi="Times New Roman" w:cs="Times New Roman"/>
        </w:rPr>
      </w:pPr>
      <w:r w:rsidRPr="00EF5186">
        <w:rPr>
          <w:rFonts w:ascii="Times New Roman" w:hAnsi="Times New Roman" w:cs="Times New Roman"/>
        </w:rPr>
        <w:t>Business Case for Safety Technology Investment</w:t>
      </w:r>
    </w:p>
    <w:p w14:paraId="1AB1B8AA" w14:textId="77777777" w:rsidR="005851D9" w:rsidRPr="00EF5186" w:rsidRDefault="005851D9" w:rsidP="005851D9">
      <w:pPr>
        <w:rPr>
          <w:rFonts w:ascii="Times New Roman" w:hAnsi="Times New Roman" w:cs="Times New Roman"/>
        </w:rPr>
      </w:pPr>
      <w:r w:rsidRPr="00EF5186">
        <w:rPr>
          <w:rFonts w:ascii="Times New Roman" w:hAnsi="Times New Roman" w:cs="Times New Roman"/>
        </w:rPr>
        <w:t>1. The Financial Problem</w:t>
      </w:r>
    </w:p>
    <w:p w14:paraId="179302FC" w14:textId="0C1C2941" w:rsidR="005851D9" w:rsidRPr="00EF5186" w:rsidRDefault="005851D9" w:rsidP="005851D9">
      <w:pPr>
        <w:numPr>
          <w:ilvl w:val="0"/>
          <w:numId w:val="5"/>
        </w:numPr>
        <w:rPr>
          <w:rFonts w:ascii="Times New Roman" w:hAnsi="Times New Roman" w:cs="Times New Roman"/>
        </w:rPr>
      </w:pPr>
      <w:r w:rsidRPr="00EF5186">
        <w:rPr>
          <w:rFonts w:ascii="Times New Roman" w:hAnsi="Times New Roman" w:cs="Times New Roman"/>
        </w:rPr>
        <w:t>Total Incident Cost: $5,646,350 across 250 incidents, averaging $22,585 per event.</w:t>
      </w:r>
    </w:p>
    <w:p w14:paraId="05CDA402" w14:textId="6DEB090C" w:rsidR="005851D9" w:rsidRPr="00EF5186" w:rsidRDefault="005851D9" w:rsidP="005851D9">
      <w:pPr>
        <w:numPr>
          <w:ilvl w:val="0"/>
          <w:numId w:val="5"/>
        </w:numPr>
        <w:rPr>
          <w:rFonts w:ascii="Times New Roman" w:hAnsi="Times New Roman" w:cs="Times New Roman"/>
        </w:rPr>
      </w:pPr>
      <w:r w:rsidRPr="00EF5186">
        <w:rPr>
          <w:rFonts w:ascii="Times New Roman" w:hAnsi="Times New Roman" w:cs="Times New Roman"/>
        </w:rPr>
        <w:t>Concentrated Risk: Critical and high-severity incidents account for $4,014,392 (71% of total losses), averaging nearly $77,200 each.</w:t>
      </w:r>
    </w:p>
    <w:p w14:paraId="17A27439" w14:textId="7520651D" w:rsidR="005851D9" w:rsidRPr="00EF5186" w:rsidRDefault="005851D9" w:rsidP="005851D9">
      <w:pPr>
        <w:numPr>
          <w:ilvl w:val="0"/>
          <w:numId w:val="5"/>
        </w:numPr>
        <w:rPr>
          <w:rFonts w:ascii="Times New Roman" w:hAnsi="Times New Roman" w:cs="Times New Roman"/>
        </w:rPr>
      </w:pPr>
      <w:r w:rsidRPr="00EF5186">
        <w:rPr>
          <w:rFonts w:ascii="Times New Roman" w:hAnsi="Times New Roman" w:cs="Times New Roman"/>
        </w:rPr>
        <w:lastRenderedPageBreak/>
        <w:t>Operational Drag: 5,820 lost workdays resulting in severe project delays and overhead costs.</w:t>
      </w:r>
    </w:p>
    <w:p w14:paraId="4E516E52" w14:textId="77777777" w:rsidR="005851D9" w:rsidRPr="00EF5186" w:rsidRDefault="005851D9" w:rsidP="005851D9">
      <w:pPr>
        <w:rPr>
          <w:rFonts w:ascii="Times New Roman" w:hAnsi="Times New Roman" w:cs="Times New Roman"/>
        </w:rPr>
      </w:pPr>
      <w:r w:rsidRPr="00EF5186">
        <w:rPr>
          <w:rFonts w:ascii="Times New Roman" w:hAnsi="Times New Roman" w:cs="Times New Roman"/>
        </w:rPr>
        <w:t>2. High-Yield Technology Solutions</w:t>
      </w:r>
    </w:p>
    <w:p w14:paraId="5DD75910" w14:textId="536BE2D7" w:rsidR="005851D9" w:rsidRPr="00EF5186" w:rsidRDefault="005851D9" w:rsidP="005851D9">
      <w:pPr>
        <w:numPr>
          <w:ilvl w:val="0"/>
          <w:numId w:val="6"/>
        </w:numPr>
        <w:rPr>
          <w:rFonts w:ascii="Times New Roman" w:hAnsi="Times New Roman" w:cs="Times New Roman"/>
        </w:rPr>
      </w:pPr>
      <w:r w:rsidRPr="00EF5186">
        <w:rPr>
          <w:rFonts w:ascii="Times New Roman" w:hAnsi="Times New Roman" w:cs="Times New Roman"/>
        </w:rPr>
        <w:t>Edge Protection &amp; Fall Prevention: Automated harness telemetry and modular guardrails to target the $1.2M+ lost to falls and missing edge protection.</w:t>
      </w:r>
    </w:p>
    <w:p w14:paraId="466EA9D9" w14:textId="2C89919C" w:rsidR="005851D9" w:rsidRPr="00EF5186" w:rsidRDefault="005851D9" w:rsidP="005851D9">
      <w:pPr>
        <w:numPr>
          <w:ilvl w:val="0"/>
          <w:numId w:val="6"/>
        </w:numPr>
        <w:rPr>
          <w:rFonts w:ascii="Times New Roman" w:hAnsi="Times New Roman" w:cs="Times New Roman"/>
        </w:rPr>
      </w:pPr>
      <w:r w:rsidRPr="00EF5186">
        <w:rPr>
          <w:rFonts w:ascii="Times New Roman" w:hAnsi="Times New Roman" w:cs="Times New Roman"/>
        </w:rPr>
        <w:t>Excavation &amp; Slope Monitoring: Wireless geotechnical sensors and soil-displacement alarms to eliminate trench collapses ($810k in losses).</w:t>
      </w:r>
    </w:p>
    <w:p w14:paraId="4B1867DB" w14:textId="4443A160" w:rsidR="005851D9" w:rsidRPr="00EF5186" w:rsidRDefault="005851D9" w:rsidP="005851D9">
      <w:pPr>
        <w:numPr>
          <w:ilvl w:val="0"/>
          <w:numId w:val="6"/>
        </w:numPr>
        <w:rPr>
          <w:rFonts w:ascii="Times New Roman" w:hAnsi="Times New Roman" w:cs="Times New Roman"/>
        </w:rPr>
      </w:pPr>
      <w:r w:rsidRPr="00EF5186">
        <w:rPr>
          <w:rFonts w:ascii="Times New Roman" w:hAnsi="Times New Roman" w:cs="Times New Roman"/>
        </w:rPr>
        <w:t>Equipment Proximity Systems: AI-powered cameras and proximity warnings to mitigate heavy machinery strikes and equipment defects ($600k+ in losses).</w:t>
      </w:r>
    </w:p>
    <w:p w14:paraId="025529CF" w14:textId="77777777" w:rsidR="005851D9" w:rsidRPr="00EF5186" w:rsidRDefault="005851D9" w:rsidP="005851D9">
      <w:pPr>
        <w:rPr>
          <w:rFonts w:ascii="Times New Roman" w:hAnsi="Times New Roman" w:cs="Times New Roman"/>
        </w:rPr>
      </w:pPr>
      <w:r w:rsidRPr="00EF5186">
        <w:rPr>
          <w:rFonts w:ascii="Times New Roman" w:hAnsi="Times New Roman" w:cs="Times New Roman"/>
        </w:rPr>
        <w:t>3. Return on Investment (ROI)</w:t>
      </w:r>
    </w:p>
    <w:p w14:paraId="418392A5" w14:textId="648043A2" w:rsidR="005851D9" w:rsidRPr="00EF5186" w:rsidRDefault="005851D9" w:rsidP="005851D9">
      <w:pPr>
        <w:numPr>
          <w:ilvl w:val="0"/>
          <w:numId w:val="7"/>
        </w:numPr>
        <w:rPr>
          <w:rFonts w:ascii="Times New Roman" w:hAnsi="Times New Roman" w:cs="Times New Roman"/>
        </w:rPr>
      </w:pPr>
      <w:r w:rsidRPr="00EF5186">
        <w:rPr>
          <w:rFonts w:ascii="Times New Roman" w:hAnsi="Times New Roman" w:cs="Times New Roman"/>
        </w:rPr>
        <w:t>Cost Avoidance: Preventing just three critical incidents saves over $230,000, immediately offsetting capital expenditures.</w:t>
      </w:r>
    </w:p>
    <w:p w14:paraId="0BBAFED7" w14:textId="56496A1F" w:rsidR="005851D9" w:rsidRPr="00EF5186" w:rsidRDefault="005851D9" w:rsidP="005851D9">
      <w:pPr>
        <w:numPr>
          <w:ilvl w:val="0"/>
          <w:numId w:val="7"/>
        </w:numPr>
        <w:rPr>
          <w:rFonts w:ascii="Times New Roman" w:hAnsi="Times New Roman" w:cs="Times New Roman"/>
        </w:rPr>
      </w:pPr>
      <w:r w:rsidRPr="00EF5186">
        <w:rPr>
          <w:rFonts w:ascii="Times New Roman" w:hAnsi="Times New Roman" w:cs="Times New Roman"/>
        </w:rPr>
        <w:t>Productivity Gains: Eliminating lost workdays protects schedule milestones and avoids costly subcontractor penalties.</w:t>
      </w:r>
    </w:p>
    <w:p w14:paraId="1FCF46B7" w14:textId="77777777" w:rsidR="005851D9" w:rsidRPr="00EF5186" w:rsidRDefault="005851D9" w:rsidP="005851D9">
      <w:pPr>
        <w:numPr>
          <w:ilvl w:val="0"/>
          <w:numId w:val="7"/>
        </w:numPr>
        <w:rPr>
          <w:rFonts w:ascii="Times New Roman" w:hAnsi="Times New Roman" w:cs="Times New Roman"/>
        </w:rPr>
      </w:pPr>
      <w:r w:rsidRPr="00EF5186">
        <w:rPr>
          <w:rFonts w:ascii="Times New Roman" w:hAnsi="Times New Roman" w:cs="Times New Roman"/>
        </w:rPr>
        <w:t>Long-Term Verdict: Technology deployment minimizes liability and delivers a clear net-positive return by eliminating high-consequence payouts.</w:t>
      </w:r>
    </w:p>
    <w:p w14:paraId="7C6BB98C" w14:textId="77777777" w:rsidR="005851D9" w:rsidRPr="00EF5186" w:rsidRDefault="005851D9" w:rsidP="000A175F">
      <w:pPr>
        <w:rPr>
          <w:rFonts w:ascii="Times New Roman" w:hAnsi="Times New Roman" w:cs="Times New Roman"/>
        </w:rPr>
      </w:pPr>
    </w:p>
    <w:p w14:paraId="78434FDD" w14:textId="7062BA59" w:rsidR="005851D9" w:rsidRPr="00EF5186" w:rsidRDefault="005851D9" w:rsidP="000A175F">
      <w:pPr>
        <w:rPr>
          <w:rFonts w:ascii="Times New Roman" w:hAnsi="Times New Roman" w:cs="Times New Roman"/>
        </w:rPr>
      </w:pPr>
      <w:r w:rsidRPr="00EF5186">
        <w:rPr>
          <w:rFonts w:ascii="Times New Roman" w:hAnsi="Times New Roman" w:cs="Times New Roman"/>
        </w:rPr>
        <w:t>6)What is the single biggest reason workers are getting hurt on-site?</w:t>
      </w:r>
    </w:p>
    <w:p w14:paraId="694EB0AB"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6) Single Biggest Reason Workers Are Getting Hurt On-Site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3979"/>
        <w:gridCol w:w="2047"/>
        <w:gridCol w:w="1934"/>
      </w:tblGrid>
      <w:tr w:rsidR="006906AF" w:rsidRPr="00EF5186" w14:paraId="2E3054E1" w14:textId="77777777">
        <w:trPr>
          <w:tblHeader/>
          <w:tblCellSpacing w:w="15" w:type="dxa"/>
        </w:trPr>
        <w:tc>
          <w:tcPr>
            <w:tcW w:w="0" w:type="auto"/>
            <w:vAlign w:val="center"/>
            <w:hideMark/>
          </w:tcPr>
          <w:p w14:paraId="0ADC6D7C"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Rank</w:t>
            </w:r>
          </w:p>
        </w:tc>
        <w:tc>
          <w:tcPr>
            <w:tcW w:w="0" w:type="auto"/>
            <w:vAlign w:val="center"/>
            <w:hideMark/>
          </w:tcPr>
          <w:p w14:paraId="4560EDF6"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Root Cause</w:t>
            </w:r>
          </w:p>
        </w:tc>
        <w:tc>
          <w:tcPr>
            <w:tcW w:w="0" w:type="auto"/>
            <w:vAlign w:val="center"/>
            <w:hideMark/>
          </w:tcPr>
          <w:p w14:paraId="3295CDE2"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Number of Incidents</w:t>
            </w:r>
          </w:p>
        </w:tc>
        <w:tc>
          <w:tcPr>
            <w:tcW w:w="0" w:type="auto"/>
            <w:vAlign w:val="center"/>
            <w:hideMark/>
          </w:tcPr>
          <w:p w14:paraId="380836F0"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Percentage of Total</w:t>
            </w:r>
          </w:p>
        </w:tc>
      </w:tr>
      <w:tr w:rsidR="006906AF" w:rsidRPr="00EF5186" w14:paraId="3C178C15" w14:textId="77777777">
        <w:trPr>
          <w:tblCellSpacing w:w="15" w:type="dxa"/>
        </w:trPr>
        <w:tc>
          <w:tcPr>
            <w:tcW w:w="0" w:type="auto"/>
            <w:vAlign w:val="center"/>
            <w:hideMark/>
          </w:tcPr>
          <w:p w14:paraId="0F34FE5A"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1</w:t>
            </w:r>
          </w:p>
        </w:tc>
        <w:tc>
          <w:tcPr>
            <w:tcW w:w="0" w:type="auto"/>
            <w:vAlign w:val="center"/>
            <w:hideMark/>
          </w:tcPr>
          <w:p w14:paraId="7F0E8886"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Inadequate Trench Shoring / Sloping</w:t>
            </w:r>
          </w:p>
        </w:tc>
        <w:tc>
          <w:tcPr>
            <w:tcW w:w="0" w:type="auto"/>
            <w:vAlign w:val="center"/>
            <w:hideMark/>
          </w:tcPr>
          <w:p w14:paraId="6B9887F8"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34</w:t>
            </w:r>
          </w:p>
        </w:tc>
        <w:tc>
          <w:tcPr>
            <w:tcW w:w="0" w:type="auto"/>
            <w:vAlign w:val="center"/>
            <w:hideMark/>
          </w:tcPr>
          <w:p w14:paraId="55A528B5"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13.6%</w:t>
            </w:r>
          </w:p>
        </w:tc>
      </w:tr>
      <w:tr w:rsidR="006906AF" w:rsidRPr="00EF5186" w14:paraId="75CD8F83" w14:textId="77777777">
        <w:trPr>
          <w:tblCellSpacing w:w="15" w:type="dxa"/>
        </w:trPr>
        <w:tc>
          <w:tcPr>
            <w:tcW w:w="0" w:type="auto"/>
            <w:vAlign w:val="center"/>
            <w:hideMark/>
          </w:tcPr>
          <w:p w14:paraId="6E65E3C8"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2</w:t>
            </w:r>
          </w:p>
        </w:tc>
        <w:tc>
          <w:tcPr>
            <w:tcW w:w="0" w:type="auto"/>
            <w:vAlign w:val="center"/>
            <w:hideMark/>
          </w:tcPr>
          <w:p w14:paraId="55E06DE9"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Lack of Physical Edge Guardrails</w:t>
            </w:r>
          </w:p>
        </w:tc>
        <w:tc>
          <w:tcPr>
            <w:tcW w:w="0" w:type="auto"/>
            <w:vAlign w:val="center"/>
            <w:hideMark/>
          </w:tcPr>
          <w:p w14:paraId="1DE56009"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28</w:t>
            </w:r>
          </w:p>
        </w:tc>
        <w:tc>
          <w:tcPr>
            <w:tcW w:w="0" w:type="auto"/>
            <w:vAlign w:val="center"/>
            <w:hideMark/>
          </w:tcPr>
          <w:p w14:paraId="03A1EB53"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11.2%</w:t>
            </w:r>
          </w:p>
        </w:tc>
      </w:tr>
      <w:tr w:rsidR="006906AF" w:rsidRPr="00EF5186" w14:paraId="2E47B45F" w14:textId="77777777">
        <w:trPr>
          <w:tblCellSpacing w:w="15" w:type="dxa"/>
        </w:trPr>
        <w:tc>
          <w:tcPr>
            <w:tcW w:w="0" w:type="auto"/>
            <w:vAlign w:val="center"/>
            <w:hideMark/>
          </w:tcPr>
          <w:p w14:paraId="6A0795EA"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3</w:t>
            </w:r>
          </w:p>
        </w:tc>
        <w:tc>
          <w:tcPr>
            <w:tcW w:w="0" w:type="auto"/>
            <w:vAlign w:val="center"/>
            <w:hideMark/>
          </w:tcPr>
          <w:p w14:paraId="400F1FA1"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Lapse in Pre-Task Hazard Assessment</w:t>
            </w:r>
          </w:p>
        </w:tc>
        <w:tc>
          <w:tcPr>
            <w:tcW w:w="0" w:type="auto"/>
            <w:vAlign w:val="center"/>
            <w:hideMark/>
          </w:tcPr>
          <w:p w14:paraId="1F3D335D"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26</w:t>
            </w:r>
          </w:p>
        </w:tc>
        <w:tc>
          <w:tcPr>
            <w:tcW w:w="0" w:type="auto"/>
            <w:vAlign w:val="center"/>
            <w:hideMark/>
          </w:tcPr>
          <w:p w14:paraId="09E84264"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10.4%</w:t>
            </w:r>
          </w:p>
        </w:tc>
      </w:tr>
      <w:tr w:rsidR="006906AF" w:rsidRPr="00EF5186" w14:paraId="6EBE4A85" w14:textId="77777777">
        <w:trPr>
          <w:tblCellSpacing w:w="15" w:type="dxa"/>
        </w:trPr>
        <w:tc>
          <w:tcPr>
            <w:tcW w:w="0" w:type="auto"/>
            <w:vAlign w:val="center"/>
            <w:hideMark/>
          </w:tcPr>
          <w:p w14:paraId="0FDF6347"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4</w:t>
            </w:r>
          </w:p>
        </w:tc>
        <w:tc>
          <w:tcPr>
            <w:tcW w:w="0" w:type="auto"/>
            <w:vAlign w:val="center"/>
            <w:hideMark/>
          </w:tcPr>
          <w:p w14:paraId="07F04834"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Equipment Maintenance Failure / Defect</w:t>
            </w:r>
          </w:p>
        </w:tc>
        <w:tc>
          <w:tcPr>
            <w:tcW w:w="0" w:type="auto"/>
            <w:vAlign w:val="center"/>
            <w:hideMark/>
          </w:tcPr>
          <w:p w14:paraId="280EA937"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26</w:t>
            </w:r>
          </w:p>
        </w:tc>
        <w:tc>
          <w:tcPr>
            <w:tcW w:w="0" w:type="auto"/>
            <w:vAlign w:val="center"/>
            <w:hideMark/>
          </w:tcPr>
          <w:p w14:paraId="557E70E8"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10.4%</w:t>
            </w:r>
          </w:p>
        </w:tc>
      </w:tr>
      <w:tr w:rsidR="006906AF" w:rsidRPr="00EF5186" w14:paraId="106CE058" w14:textId="77777777">
        <w:trPr>
          <w:tblCellSpacing w:w="15" w:type="dxa"/>
        </w:trPr>
        <w:tc>
          <w:tcPr>
            <w:tcW w:w="0" w:type="auto"/>
            <w:vAlign w:val="center"/>
            <w:hideMark/>
          </w:tcPr>
          <w:p w14:paraId="153DD325"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5</w:t>
            </w:r>
          </w:p>
        </w:tc>
        <w:tc>
          <w:tcPr>
            <w:tcW w:w="0" w:type="auto"/>
            <w:vAlign w:val="center"/>
            <w:hideMark/>
          </w:tcPr>
          <w:p w14:paraId="7FD9EB9C"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Poor Housekeeping &amp; Slippery Surfaces</w:t>
            </w:r>
          </w:p>
        </w:tc>
        <w:tc>
          <w:tcPr>
            <w:tcW w:w="0" w:type="auto"/>
            <w:vAlign w:val="center"/>
            <w:hideMark/>
          </w:tcPr>
          <w:p w14:paraId="6630B036"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25</w:t>
            </w:r>
          </w:p>
        </w:tc>
        <w:tc>
          <w:tcPr>
            <w:tcW w:w="0" w:type="auto"/>
            <w:vAlign w:val="center"/>
            <w:hideMark/>
          </w:tcPr>
          <w:p w14:paraId="74E50139"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10.0%</w:t>
            </w:r>
          </w:p>
        </w:tc>
      </w:tr>
    </w:tbl>
    <w:p w14:paraId="3BE75487"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Key Findings</w:t>
      </w:r>
    </w:p>
    <w:p w14:paraId="34A2A09A" w14:textId="77777777" w:rsidR="006906AF" w:rsidRPr="00EF5186" w:rsidRDefault="006906AF" w:rsidP="006906AF">
      <w:pPr>
        <w:numPr>
          <w:ilvl w:val="0"/>
          <w:numId w:val="12"/>
        </w:numPr>
        <w:rPr>
          <w:rFonts w:ascii="Times New Roman" w:hAnsi="Times New Roman" w:cs="Times New Roman"/>
        </w:rPr>
      </w:pPr>
      <w:r w:rsidRPr="00EF5186">
        <w:rPr>
          <w:rFonts w:ascii="Times New Roman" w:hAnsi="Times New Roman" w:cs="Times New Roman"/>
        </w:rPr>
        <w:t>Inadequate trench shoring/sloping is the single largest root cause, accounting for 34 of the 250 incidents (13.6%).</w:t>
      </w:r>
    </w:p>
    <w:p w14:paraId="5DF7FA74" w14:textId="77777777" w:rsidR="006906AF" w:rsidRPr="00EF5186" w:rsidRDefault="006906AF" w:rsidP="006906AF">
      <w:pPr>
        <w:numPr>
          <w:ilvl w:val="0"/>
          <w:numId w:val="12"/>
        </w:numPr>
        <w:rPr>
          <w:rFonts w:ascii="Times New Roman" w:hAnsi="Times New Roman" w:cs="Times New Roman"/>
        </w:rPr>
      </w:pPr>
      <w:r w:rsidRPr="00EF5186">
        <w:rPr>
          <w:rFonts w:ascii="Times New Roman" w:hAnsi="Times New Roman" w:cs="Times New Roman"/>
        </w:rPr>
        <w:t>These incidents resulted in 936 lost workdays.</w:t>
      </w:r>
    </w:p>
    <w:p w14:paraId="0D500B10" w14:textId="77777777" w:rsidR="006906AF" w:rsidRPr="00EF5186" w:rsidRDefault="006906AF" w:rsidP="006906AF">
      <w:pPr>
        <w:numPr>
          <w:ilvl w:val="0"/>
          <w:numId w:val="12"/>
        </w:numPr>
        <w:rPr>
          <w:rFonts w:ascii="Times New Roman" w:hAnsi="Times New Roman" w:cs="Times New Roman"/>
        </w:rPr>
      </w:pPr>
      <w:r w:rsidRPr="00EF5186">
        <w:rPr>
          <w:rFonts w:ascii="Times New Roman" w:hAnsi="Times New Roman" w:cs="Times New Roman"/>
        </w:rPr>
        <w:t>The estimated financial impact associated with this root cause is USD 810,575.</w:t>
      </w:r>
    </w:p>
    <w:p w14:paraId="52C50CE6" w14:textId="77777777" w:rsidR="006906AF" w:rsidRPr="00EF5186" w:rsidRDefault="006906AF" w:rsidP="006906AF">
      <w:pPr>
        <w:numPr>
          <w:ilvl w:val="0"/>
          <w:numId w:val="12"/>
        </w:numPr>
        <w:rPr>
          <w:rFonts w:ascii="Times New Roman" w:hAnsi="Times New Roman" w:cs="Times New Roman"/>
        </w:rPr>
      </w:pPr>
      <w:r w:rsidRPr="00EF5186">
        <w:rPr>
          <w:rFonts w:ascii="Times New Roman" w:hAnsi="Times New Roman" w:cs="Times New Roman"/>
        </w:rPr>
        <w:lastRenderedPageBreak/>
        <w:t>The second-largest cause is lack of physical edge guardrails, with 28 incidents and 923 lost workdays.</w:t>
      </w:r>
    </w:p>
    <w:p w14:paraId="6C8CB436" w14:textId="77777777" w:rsidR="006906AF" w:rsidRPr="00EF5186" w:rsidRDefault="006906AF" w:rsidP="006906AF">
      <w:pPr>
        <w:numPr>
          <w:ilvl w:val="0"/>
          <w:numId w:val="12"/>
        </w:numPr>
        <w:rPr>
          <w:rFonts w:ascii="Times New Roman" w:hAnsi="Times New Roman" w:cs="Times New Roman"/>
        </w:rPr>
      </w:pPr>
      <w:r w:rsidRPr="00EF5186">
        <w:rPr>
          <w:rFonts w:ascii="Times New Roman" w:hAnsi="Times New Roman" w:cs="Times New Roman"/>
        </w:rPr>
        <w:t>The data indicates that excavation and trenching activities require immediate safety attention, particularly regarding adequate shoring, sloping, excavation inspection, and protection against soil collapse.</w:t>
      </w:r>
    </w:p>
    <w:p w14:paraId="6CEA6198"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Professional Conclusion</w:t>
      </w:r>
    </w:p>
    <w:p w14:paraId="76AEE64C"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The single biggest reason workers are getting hurt on-site is inadequate trench shoring/sloping, responsible for 34 incidents (13.6% of all recorded incidents). From a construction safety management perspective, excavation work should therefore be treated as a high-priority risk area, with strict requirements for competent-person inspections, appropriate shoring/sloping systems, safe access and egress, and exclusion zones around excavations.</w:t>
      </w:r>
    </w:p>
    <w:p w14:paraId="1AD511C0" w14:textId="1D8CF2BE" w:rsidR="000A175F" w:rsidRPr="00EF5186" w:rsidRDefault="006906AF">
      <w:pPr>
        <w:rPr>
          <w:rFonts w:ascii="Times New Roman" w:hAnsi="Times New Roman" w:cs="Times New Roman"/>
        </w:rPr>
      </w:pPr>
      <w:r w:rsidRPr="00EF5186">
        <w:rPr>
          <w:rFonts w:ascii="Times New Roman" w:hAnsi="Times New Roman" w:cs="Times New Roman"/>
        </w:rPr>
        <w:t>7)Are workers actually wearing their required safety gear (PPE) every day?</w:t>
      </w:r>
    </w:p>
    <w:p w14:paraId="72272F5A"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7) Are Workers Wearing the Required PPE Every Day?</w:t>
      </w:r>
    </w:p>
    <w:p w14:paraId="64508196"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The database does not contain a daily PPE-compliance or PPE-inspection field, so it cannot establish whether workers wear PPE every day. However, it does identify incidents where failure to wear PPE was recorded as the root 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4"/>
        <w:gridCol w:w="1396"/>
      </w:tblGrid>
      <w:tr w:rsidR="006906AF" w:rsidRPr="00EF5186" w14:paraId="28CDE484" w14:textId="77777777">
        <w:trPr>
          <w:tblHeader/>
          <w:tblCellSpacing w:w="15" w:type="dxa"/>
        </w:trPr>
        <w:tc>
          <w:tcPr>
            <w:tcW w:w="0" w:type="auto"/>
            <w:vAlign w:val="center"/>
            <w:hideMark/>
          </w:tcPr>
          <w:p w14:paraId="7F8834ED"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PPE-Related Indicator</w:t>
            </w:r>
          </w:p>
        </w:tc>
        <w:tc>
          <w:tcPr>
            <w:tcW w:w="0" w:type="auto"/>
            <w:vAlign w:val="center"/>
            <w:hideMark/>
          </w:tcPr>
          <w:p w14:paraId="27635558"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Result</w:t>
            </w:r>
          </w:p>
        </w:tc>
      </w:tr>
      <w:tr w:rsidR="006906AF" w:rsidRPr="00EF5186" w14:paraId="293738B0" w14:textId="77777777">
        <w:trPr>
          <w:tblCellSpacing w:w="15" w:type="dxa"/>
        </w:trPr>
        <w:tc>
          <w:tcPr>
            <w:tcW w:w="0" w:type="auto"/>
            <w:vAlign w:val="center"/>
            <w:hideMark/>
          </w:tcPr>
          <w:p w14:paraId="7DC463BB"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Total recorded incidents</w:t>
            </w:r>
          </w:p>
        </w:tc>
        <w:tc>
          <w:tcPr>
            <w:tcW w:w="0" w:type="auto"/>
            <w:vAlign w:val="center"/>
            <w:hideMark/>
          </w:tcPr>
          <w:p w14:paraId="7232FD95"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250</w:t>
            </w:r>
          </w:p>
        </w:tc>
      </w:tr>
      <w:tr w:rsidR="006906AF" w:rsidRPr="00EF5186" w14:paraId="7705D394" w14:textId="77777777">
        <w:trPr>
          <w:tblCellSpacing w:w="15" w:type="dxa"/>
        </w:trPr>
        <w:tc>
          <w:tcPr>
            <w:tcW w:w="0" w:type="auto"/>
            <w:vAlign w:val="center"/>
            <w:hideMark/>
          </w:tcPr>
          <w:p w14:paraId="46867FA5"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Incidents attributed to failure to wear PPE</w:t>
            </w:r>
          </w:p>
        </w:tc>
        <w:tc>
          <w:tcPr>
            <w:tcW w:w="0" w:type="auto"/>
            <w:vAlign w:val="center"/>
            <w:hideMark/>
          </w:tcPr>
          <w:p w14:paraId="30DBB043"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24</w:t>
            </w:r>
          </w:p>
        </w:tc>
      </w:tr>
      <w:tr w:rsidR="006906AF" w:rsidRPr="00EF5186" w14:paraId="269B8E9F" w14:textId="77777777">
        <w:trPr>
          <w:tblCellSpacing w:w="15" w:type="dxa"/>
        </w:trPr>
        <w:tc>
          <w:tcPr>
            <w:tcW w:w="0" w:type="auto"/>
            <w:vAlign w:val="center"/>
            <w:hideMark/>
          </w:tcPr>
          <w:p w14:paraId="3592BB6B"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Percentage of incidents</w:t>
            </w:r>
          </w:p>
        </w:tc>
        <w:tc>
          <w:tcPr>
            <w:tcW w:w="0" w:type="auto"/>
            <w:vAlign w:val="center"/>
            <w:hideMark/>
          </w:tcPr>
          <w:p w14:paraId="592CCC04"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9.6%</w:t>
            </w:r>
          </w:p>
        </w:tc>
      </w:tr>
      <w:tr w:rsidR="006906AF" w:rsidRPr="00EF5186" w14:paraId="204BCE3E" w14:textId="77777777">
        <w:trPr>
          <w:tblCellSpacing w:w="15" w:type="dxa"/>
        </w:trPr>
        <w:tc>
          <w:tcPr>
            <w:tcW w:w="0" w:type="auto"/>
            <w:vAlign w:val="center"/>
            <w:hideMark/>
          </w:tcPr>
          <w:p w14:paraId="38BB2315"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Workdays lost from PPE-related incidents</w:t>
            </w:r>
          </w:p>
        </w:tc>
        <w:tc>
          <w:tcPr>
            <w:tcW w:w="0" w:type="auto"/>
            <w:vAlign w:val="center"/>
            <w:hideMark/>
          </w:tcPr>
          <w:p w14:paraId="7E3DB4BE"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541 days</w:t>
            </w:r>
          </w:p>
        </w:tc>
      </w:tr>
      <w:tr w:rsidR="006906AF" w:rsidRPr="00EF5186" w14:paraId="25F39F12" w14:textId="77777777">
        <w:trPr>
          <w:tblCellSpacing w:w="15" w:type="dxa"/>
        </w:trPr>
        <w:tc>
          <w:tcPr>
            <w:tcW w:w="0" w:type="auto"/>
            <w:vAlign w:val="center"/>
            <w:hideMark/>
          </w:tcPr>
          <w:p w14:paraId="1733E5AF"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Estimated cost of PPE-related incidents</w:t>
            </w:r>
          </w:p>
        </w:tc>
        <w:tc>
          <w:tcPr>
            <w:tcW w:w="0" w:type="auto"/>
            <w:vAlign w:val="center"/>
            <w:hideMark/>
          </w:tcPr>
          <w:p w14:paraId="3CFF3727"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USD 721,397</w:t>
            </w:r>
          </w:p>
        </w:tc>
      </w:tr>
    </w:tbl>
    <w:p w14:paraId="0E2A4F75"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Key Findings</w:t>
      </w:r>
    </w:p>
    <w:p w14:paraId="0836EDC9" w14:textId="77777777" w:rsidR="006906AF" w:rsidRPr="00EF5186" w:rsidRDefault="006906AF" w:rsidP="006906AF">
      <w:pPr>
        <w:numPr>
          <w:ilvl w:val="0"/>
          <w:numId w:val="13"/>
        </w:numPr>
        <w:rPr>
          <w:rFonts w:ascii="Times New Roman" w:hAnsi="Times New Roman" w:cs="Times New Roman"/>
        </w:rPr>
      </w:pPr>
      <w:r w:rsidRPr="00EF5186">
        <w:rPr>
          <w:rFonts w:ascii="Times New Roman" w:hAnsi="Times New Roman" w:cs="Times New Roman"/>
        </w:rPr>
        <w:t>24 incidents (9.6%) were directly attributed to failure to wear PPE.</w:t>
      </w:r>
    </w:p>
    <w:p w14:paraId="3E4CE6ED" w14:textId="77777777" w:rsidR="006906AF" w:rsidRPr="00EF5186" w:rsidRDefault="006906AF" w:rsidP="006906AF">
      <w:pPr>
        <w:numPr>
          <w:ilvl w:val="0"/>
          <w:numId w:val="13"/>
        </w:numPr>
        <w:rPr>
          <w:rFonts w:ascii="Times New Roman" w:hAnsi="Times New Roman" w:cs="Times New Roman"/>
        </w:rPr>
      </w:pPr>
      <w:r w:rsidRPr="00EF5186">
        <w:rPr>
          <w:rFonts w:ascii="Times New Roman" w:hAnsi="Times New Roman" w:cs="Times New Roman"/>
        </w:rPr>
        <w:t>These incidents resulted in 541 lost workdays.</w:t>
      </w:r>
    </w:p>
    <w:p w14:paraId="2743E0B3" w14:textId="77777777" w:rsidR="006906AF" w:rsidRPr="00EF5186" w:rsidRDefault="006906AF" w:rsidP="006906AF">
      <w:pPr>
        <w:numPr>
          <w:ilvl w:val="0"/>
          <w:numId w:val="13"/>
        </w:numPr>
        <w:rPr>
          <w:rFonts w:ascii="Times New Roman" w:hAnsi="Times New Roman" w:cs="Times New Roman"/>
        </w:rPr>
      </w:pPr>
      <w:r w:rsidRPr="00EF5186">
        <w:rPr>
          <w:rFonts w:ascii="Times New Roman" w:hAnsi="Times New Roman" w:cs="Times New Roman"/>
        </w:rPr>
        <w:t>The estimated financial impact of these PPE-related incidents was USD 721,397.</w:t>
      </w:r>
    </w:p>
    <w:p w14:paraId="720FFB41" w14:textId="77777777" w:rsidR="006906AF" w:rsidRPr="00EF5186" w:rsidRDefault="006906AF" w:rsidP="006906AF">
      <w:pPr>
        <w:numPr>
          <w:ilvl w:val="0"/>
          <w:numId w:val="13"/>
        </w:numPr>
        <w:rPr>
          <w:rFonts w:ascii="Times New Roman" w:hAnsi="Times New Roman" w:cs="Times New Roman"/>
        </w:rPr>
      </w:pPr>
      <w:r w:rsidRPr="00EF5186">
        <w:rPr>
          <w:rFonts w:ascii="Times New Roman" w:hAnsi="Times New Roman" w:cs="Times New Roman"/>
        </w:rPr>
        <w:t>PPE non-compliance is therefore a significant contributing factor, although it is not the leading root cause in the database.</w:t>
      </w:r>
    </w:p>
    <w:p w14:paraId="6A26F0B6" w14:textId="77777777" w:rsidR="006906AF" w:rsidRPr="00EF5186" w:rsidRDefault="006906AF" w:rsidP="006906AF">
      <w:pPr>
        <w:numPr>
          <w:ilvl w:val="0"/>
          <w:numId w:val="13"/>
        </w:numPr>
        <w:rPr>
          <w:rFonts w:ascii="Times New Roman" w:hAnsi="Times New Roman" w:cs="Times New Roman"/>
        </w:rPr>
      </w:pPr>
      <w:r w:rsidRPr="00EF5186">
        <w:rPr>
          <w:rFonts w:ascii="Times New Roman" w:hAnsi="Times New Roman" w:cs="Times New Roman"/>
        </w:rPr>
        <w:t>The data does not prove daily PPE compliance, because routine PPE inspection/observation records are not included.</w:t>
      </w:r>
    </w:p>
    <w:p w14:paraId="72ED58F2"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Professional Conclusion</w:t>
      </w:r>
    </w:p>
    <w:p w14:paraId="167A2C29"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lastRenderedPageBreak/>
        <w:t>The available data indicates that PPE compliance is a significant safety concern. Failure to wear PPE was identified as the root cause of 24 incidents, resulting in 541 lost workdays and an estimated cost of USD 721,397. However, a definitive assessment of daily PPE compliance would require PPE inspection records, safety observations, or daily compliance-monitoring data.</w:t>
      </w:r>
    </w:p>
    <w:p w14:paraId="67FCD844"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Recommended action: Implement daily PPE inspections, supervisor spot checks, toolbox talks, and documented PPE-compliance observations at all active work fronts.</w:t>
      </w:r>
    </w:p>
    <w:p w14:paraId="6AE78502" w14:textId="50898F8E" w:rsidR="006906AF" w:rsidRPr="00EF5186" w:rsidRDefault="006906AF">
      <w:pPr>
        <w:rPr>
          <w:rFonts w:ascii="Times New Roman" w:hAnsi="Times New Roman" w:cs="Times New Roman"/>
        </w:rPr>
      </w:pPr>
      <w:r w:rsidRPr="00EF5186">
        <w:rPr>
          <w:rFonts w:ascii="Times New Roman" w:hAnsi="Times New Roman" w:cs="Times New Roman"/>
        </w:rPr>
        <w:t>8)Which specific subcontractor company has the worst safety record?</w:t>
      </w:r>
    </w:p>
    <w:p w14:paraId="589EF676"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8) Which Specific Subcontractor Company Has the Worst Safety Record?</w:t>
      </w:r>
    </w:p>
    <w:p w14:paraId="6561F17E"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To assess the subcontractors, I compared number of incidents, total workdays lost, and estimated accident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607"/>
        <w:gridCol w:w="940"/>
        <w:gridCol w:w="1040"/>
        <w:gridCol w:w="2235"/>
      </w:tblGrid>
      <w:tr w:rsidR="006906AF" w:rsidRPr="00EF5186" w14:paraId="74D7065D" w14:textId="77777777">
        <w:trPr>
          <w:tblHeader/>
          <w:tblCellSpacing w:w="15" w:type="dxa"/>
        </w:trPr>
        <w:tc>
          <w:tcPr>
            <w:tcW w:w="0" w:type="auto"/>
            <w:vAlign w:val="center"/>
            <w:hideMark/>
          </w:tcPr>
          <w:p w14:paraId="797A6CCD"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Rank</w:t>
            </w:r>
          </w:p>
        </w:tc>
        <w:tc>
          <w:tcPr>
            <w:tcW w:w="0" w:type="auto"/>
            <w:vAlign w:val="center"/>
            <w:hideMark/>
          </w:tcPr>
          <w:p w14:paraId="68ACE23E"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Subcontractor Company</w:t>
            </w:r>
          </w:p>
        </w:tc>
        <w:tc>
          <w:tcPr>
            <w:tcW w:w="0" w:type="auto"/>
            <w:vAlign w:val="center"/>
            <w:hideMark/>
          </w:tcPr>
          <w:p w14:paraId="4B704269"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Incidents</w:t>
            </w:r>
          </w:p>
        </w:tc>
        <w:tc>
          <w:tcPr>
            <w:tcW w:w="0" w:type="auto"/>
            <w:vAlign w:val="center"/>
            <w:hideMark/>
          </w:tcPr>
          <w:p w14:paraId="2CB0807A"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Days Lost</w:t>
            </w:r>
          </w:p>
        </w:tc>
        <w:tc>
          <w:tcPr>
            <w:tcW w:w="0" w:type="auto"/>
            <w:vAlign w:val="center"/>
            <w:hideMark/>
          </w:tcPr>
          <w:p w14:paraId="0A3D82FE"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Estimated Cost (USD)</w:t>
            </w:r>
          </w:p>
        </w:tc>
      </w:tr>
      <w:tr w:rsidR="006906AF" w:rsidRPr="00EF5186" w14:paraId="6BFD4954" w14:textId="77777777">
        <w:trPr>
          <w:tblCellSpacing w:w="15" w:type="dxa"/>
        </w:trPr>
        <w:tc>
          <w:tcPr>
            <w:tcW w:w="0" w:type="auto"/>
            <w:vAlign w:val="center"/>
            <w:hideMark/>
          </w:tcPr>
          <w:p w14:paraId="781C118C"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1</w:t>
            </w:r>
          </w:p>
        </w:tc>
        <w:tc>
          <w:tcPr>
            <w:tcW w:w="0" w:type="auto"/>
            <w:vAlign w:val="center"/>
            <w:hideMark/>
          </w:tcPr>
          <w:p w14:paraId="67DA1A1F" w14:textId="77777777" w:rsidR="006906AF" w:rsidRPr="00EF5186" w:rsidRDefault="006906AF" w:rsidP="006906AF">
            <w:pPr>
              <w:rPr>
                <w:rFonts w:ascii="Times New Roman" w:hAnsi="Times New Roman" w:cs="Times New Roman"/>
              </w:rPr>
            </w:pPr>
            <w:proofErr w:type="spellStart"/>
            <w:r w:rsidRPr="00EF5186">
              <w:rPr>
                <w:rFonts w:ascii="Times New Roman" w:hAnsi="Times New Roman" w:cs="Times New Roman"/>
              </w:rPr>
              <w:t>ElectroTech</w:t>
            </w:r>
            <w:proofErr w:type="spellEnd"/>
            <w:r w:rsidRPr="00EF5186">
              <w:rPr>
                <w:rFonts w:ascii="Times New Roman" w:hAnsi="Times New Roman" w:cs="Times New Roman"/>
              </w:rPr>
              <w:t xml:space="preserve"> Services</w:t>
            </w:r>
          </w:p>
        </w:tc>
        <w:tc>
          <w:tcPr>
            <w:tcW w:w="0" w:type="auto"/>
            <w:vAlign w:val="center"/>
            <w:hideMark/>
          </w:tcPr>
          <w:p w14:paraId="3529179D"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43</w:t>
            </w:r>
          </w:p>
        </w:tc>
        <w:tc>
          <w:tcPr>
            <w:tcW w:w="0" w:type="auto"/>
            <w:vAlign w:val="center"/>
            <w:hideMark/>
          </w:tcPr>
          <w:p w14:paraId="047BC1A6"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683</w:t>
            </w:r>
          </w:p>
        </w:tc>
        <w:tc>
          <w:tcPr>
            <w:tcW w:w="0" w:type="auto"/>
            <w:vAlign w:val="center"/>
            <w:hideMark/>
          </w:tcPr>
          <w:p w14:paraId="1AC0A817"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$627,274</w:t>
            </w:r>
          </w:p>
        </w:tc>
      </w:tr>
      <w:tr w:rsidR="006906AF" w:rsidRPr="00EF5186" w14:paraId="63659C31" w14:textId="77777777">
        <w:trPr>
          <w:tblCellSpacing w:w="15" w:type="dxa"/>
        </w:trPr>
        <w:tc>
          <w:tcPr>
            <w:tcW w:w="0" w:type="auto"/>
            <w:vAlign w:val="center"/>
            <w:hideMark/>
          </w:tcPr>
          <w:p w14:paraId="6EF30696"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2</w:t>
            </w:r>
          </w:p>
        </w:tc>
        <w:tc>
          <w:tcPr>
            <w:tcW w:w="0" w:type="auto"/>
            <w:vAlign w:val="center"/>
            <w:hideMark/>
          </w:tcPr>
          <w:p w14:paraId="7C50980F"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Civic Ground Engineering</w:t>
            </w:r>
          </w:p>
        </w:tc>
        <w:tc>
          <w:tcPr>
            <w:tcW w:w="0" w:type="auto"/>
            <w:vAlign w:val="center"/>
            <w:hideMark/>
          </w:tcPr>
          <w:p w14:paraId="3AE6631F"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38</w:t>
            </w:r>
          </w:p>
        </w:tc>
        <w:tc>
          <w:tcPr>
            <w:tcW w:w="0" w:type="auto"/>
            <w:vAlign w:val="center"/>
            <w:hideMark/>
          </w:tcPr>
          <w:p w14:paraId="337576DA"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1,090</w:t>
            </w:r>
          </w:p>
        </w:tc>
        <w:tc>
          <w:tcPr>
            <w:tcW w:w="0" w:type="auto"/>
            <w:vAlign w:val="center"/>
            <w:hideMark/>
          </w:tcPr>
          <w:p w14:paraId="3C5D53D3"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$1,026,524</w:t>
            </w:r>
          </w:p>
        </w:tc>
      </w:tr>
      <w:tr w:rsidR="006906AF" w:rsidRPr="00EF5186" w14:paraId="0F3DD4A1" w14:textId="77777777">
        <w:trPr>
          <w:tblCellSpacing w:w="15" w:type="dxa"/>
        </w:trPr>
        <w:tc>
          <w:tcPr>
            <w:tcW w:w="0" w:type="auto"/>
            <w:vAlign w:val="center"/>
            <w:hideMark/>
          </w:tcPr>
          <w:p w14:paraId="4C25FC23"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3</w:t>
            </w:r>
          </w:p>
        </w:tc>
        <w:tc>
          <w:tcPr>
            <w:tcW w:w="0" w:type="auto"/>
            <w:vAlign w:val="center"/>
            <w:hideMark/>
          </w:tcPr>
          <w:p w14:paraId="6846999D"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Pinnacle Concrete Works</w:t>
            </w:r>
          </w:p>
        </w:tc>
        <w:tc>
          <w:tcPr>
            <w:tcW w:w="0" w:type="auto"/>
            <w:vAlign w:val="center"/>
            <w:hideMark/>
          </w:tcPr>
          <w:p w14:paraId="77800023"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27</w:t>
            </w:r>
          </w:p>
        </w:tc>
        <w:tc>
          <w:tcPr>
            <w:tcW w:w="0" w:type="auto"/>
            <w:vAlign w:val="center"/>
            <w:hideMark/>
          </w:tcPr>
          <w:p w14:paraId="04923255"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710</w:t>
            </w:r>
          </w:p>
        </w:tc>
        <w:tc>
          <w:tcPr>
            <w:tcW w:w="0" w:type="auto"/>
            <w:vAlign w:val="center"/>
            <w:hideMark/>
          </w:tcPr>
          <w:p w14:paraId="77A1A4D7"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$741,651</w:t>
            </w:r>
          </w:p>
        </w:tc>
      </w:tr>
      <w:tr w:rsidR="006906AF" w:rsidRPr="00EF5186" w14:paraId="66B302FE" w14:textId="77777777">
        <w:trPr>
          <w:tblCellSpacing w:w="15" w:type="dxa"/>
        </w:trPr>
        <w:tc>
          <w:tcPr>
            <w:tcW w:w="0" w:type="auto"/>
            <w:vAlign w:val="center"/>
            <w:hideMark/>
          </w:tcPr>
          <w:p w14:paraId="5212D62A"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4</w:t>
            </w:r>
          </w:p>
        </w:tc>
        <w:tc>
          <w:tcPr>
            <w:tcW w:w="0" w:type="auto"/>
            <w:vAlign w:val="center"/>
            <w:hideMark/>
          </w:tcPr>
          <w:p w14:paraId="37AEF382" w14:textId="77777777" w:rsidR="006906AF" w:rsidRPr="00EF5186" w:rsidRDefault="006906AF" w:rsidP="006906AF">
            <w:pPr>
              <w:rPr>
                <w:rFonts w:ascii="Times New Roman" w:hAnsi="Times New Roman" w:cs="Times New Roman"/>
              </w:rPr>
            </w:pPr>
            <w:proofErr w:type="spellStart"/>
            <w:r w:rsidRPr="00EF5186">
              <w:rPr>
                <w:rFonts w:ascii="Times New Roman" w:hAnsi="Times New Roman" w:cs="Times New Roman"/>
              </w:rPr>
              <w:t>BuildSafe</w:t>
            </w:r>
            <w:proofErr w:type="spellEnd"/>
            <w:r w:rsidRPr="00EF5186">
              <w:rPr>
                <w:rFonts w:ascii="Times New Roman" w:hAnsi="Times New Roman" w:cs="Times New Roman"/>
              </w:rPr>
              <w:t xml:space="preserve"> Steel Corp</w:t>
            </w:r>
          </w:p>
        </w:tc>
        <w:tc>
          <w:tcPr>
            <w:tcW w:w="0" w:type="auto"/>
            <w:vAlign w:val="center"/>
            <w:hideMark/>
          </w:tcPr>
          <w:p w14:paraId="4DC08B6E"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27</w:t>
            </w:r>
          </w:p>
        </w:tc>
        <w:tc>
          <w:tcPr>
            <w:tcW w:w="0" w:type="auto"/>
            <w:vAlign w:val="center"/>
            <w:hideMark/>
          </w:tcPr>
          <w:p w14:paraId="6EB1E68E"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835</w:t>
            </w:r>
          </w:p>
        </w:tc>
        <w:tc>
          <w:tcPr>
            <w:tcW w:w="0" w:type="auto"/>
            <w:vAlign w:val="center"/>
            <w:hideMark/>
          </w:tcPr>
          <w:p w14:paraId="39E6CF7F"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$740,397</w:t>
            </w:r>
          </w:p>
        </w:tc>
      </w:tr>
      <w:tr w:rsidR="006906AF" w:rsidRPr="00EF5186" w14:paraId="72155FCA" w14:textId="77777777">
        <w:trPr>
          <w:tblCellSpacing w:w="15" w:type="dxa"/>
        </w:trPr>
        <w:tc>
          <w:tcPr>
            <w:tcW w:w="0" w:type="auto"/>
            <w:vAlign w:val="center"/>
            <w:hideMark/>
          </w:tcPr>
          <w:p w14:paraId="7C86AB87"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5</w:t>
            </w:r>
          </w:p>
        </w:tc>
        <w:tc>
          <w:tcPr>
            <w:tcW w:w="0" w:type="auto"/>
            <w:vAlign w:val="center"/>
            <w:hideMark/>
          </w:tcPr>
          <w:p w14:paraId="556F5167"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Apex Formwork Co</w:t>
            </w:r>
          </w:p>
        </w:tc>
        <w:tc>
          <w:tcPr>
            <w:tcW w:w="0" w:type="auto"/>
            <w:vAlign w:val="center"/>
            <w:hideMark/>
          </w:tcPr>
          <w:p w14:paraId="2A92C3E5"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23</w:t>
            </w:r>
          </w:p>
        </w:tc>
        <w:tc>
          <w:tcPr>
            <w:tcW w:w="0" w:type="auto"/>
            <w:vAlign w:val="center"/>
            <w:hideMark/>
          </w:tcPr>
          <w:p w14:paraId="5B71FC1C"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657</w:t>
            </w:r>
          </w:p>
        </w:tc>
        <w:tc>
          <w:tcPr>
            <w:tcW w:w="0" w:type="auto"/>
            <w:vAlign w:val="center"/>
            <w:hideMark/>
          </w:tcPr>
          <w:p w14:paraId="3EE1A8CC"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$675,846</w:t>
            </w:r>
          </w:p>
        </w:tc>
      </w:tr>
      <w:tr w:rsidR="006906AF" w:rsidRPr="00EF5186" w14:paraId="5132B8CC" w14:textId="77777777">
        <w:trPr>
          <w:tblCellSpacing w:w="15" w:type="dxa"/>
        </w:trPr>
        <w:tc>
          <w:tcPr>
            <w:tcW w:w="0" w:type="auto"/>
            <w:vAlign w:val="center"/>
            <w:hideMark/>
          </w:tcPr>
          <w:p w14:paraId="3908C5BD"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6</w:t>
            </w:r>
          </w:p>
        </w:tc>
        <w:tc>
          <w:tcPr>
            <w:tcW w:w="0" w:type="auto"/>
            <w:vAlign w:val="center"/>
            <w:hideMark/>
          </w:tcPr>
          <w:p w14:paraId="2096B928" w14:textId="77777777" w:rsidR="006906AF" w:rsidRPr="00EF5186" w:rsidRDefault="006906AF" w:rsidP="006906AF">
            <w:pPr>
              <w:rPr>
                <w:rFonts w:ascii="Times New Roman" w:hAnsi="Times New Roman" w:cs="Times New Roman"/>
              </w:rPr>
            </w:pPr>
            <w:proofErr w:type="spellStart"/>
            <w:r w:rsidRPr="00EF5186">
              <w:rPr>
                <w:rFonts w:ascii="Times New Roman" w:hAnsi="Times New Roman" w:cs="Times New Roman"/>
              </w:rPr>
              <w:t>MegaCrane</w:t>
            </w:r>
            <w:proofErr w:type="spellEnd"/>
            <w:r w:rsidRPr="00EF5186">
              <w:rPr>
                <w:rFonts w:ascii="Times New Roman" w:hAnsi="Times New Roman" w:cs="Times New Roman"/>
              </w:rPr>
              <w:t xml:space="preserve"> Dynamics</w:t>
            </w:r>
          </w:p>
        </w:tc>
        <w:tc>
          <w:tcPr>
            <w:tcW w:w="0" w:type="auto"/>
            <w:vAlign w:val="center"/>
            <w:hideMark/>
          </w:tcPr>
          <w:p w14:paraId="5149F0AC"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19</w:t>
            </w:r>
          </w:p>
        </w:tc>
        <w:tc>
          <w:tcPr>
            <w:tcW w:w="0" w:type="auto"/>
            <w:vAlign w:val="center"/>
            <w:hideMark/>
          </w:tcPr>
          <w:p w14:paraId="1CA2D8B8"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420</w:t>
            </w:r>
          </w:p>
        </w:tc>
        <w:tc>
          <w:tcPr>
            <w:tcW w:w="0" w:type="auto"/>
            <w:vAlign w:val="center"/>
            <w:hideMark/>
          </w:tcPr>
          <w:p w14:paraId="2E60C357"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$394,511</w:t>
            </w:r>
          </w:p>
        </w:tc>
      </w:tr>
    </w:tbl>
    <w:p w14:paraId="21E83BEF"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Key Findings</w:t>
      </w:r>
    </w:p>
    <w:p w14:paraId="655000C9" w14:textId="77777777" w:rsidR="006906AF" w:rsidRPr="00EF5186" w:rsidRDefault="006906AF" w:rsidP="006906AF">
      <w:pPr>
        <w:numPr>
          <w:ilvl w:val="0"/>
          <w:numId w:val="14"/>
        </w:numPr>
        <w:rPr>
          <w:rFonts w:ascii="Times New Roman" w:hAnsi="Times New Roman" w:cs="Times New Roman"/>
        </w:rPr>
      </w:pPr>
      <w:proofErr w:type="spellStart"/>
      <w:r w:rsidRPr="00EF5186">
        <w:rPr>
          <w:rFonts w:ascii="Times New Roman" w:hAnsi="Times New Roman" w:cs="Times New Roman"/>
        </w:rPr>
        <w:t>ElectroTech</w:t>
      </w:r>
      <w:proofErr w:type="spellEnd"/>
      <w:r w:rsidRPr="00EF5186">
        <w:rPr>
          <w:rFonts w:ascii="Times New Roman" w:hAnsi="Times New Roman" w:cs="Times New Roman"/>
        </w:rPr>
        <w:t xml:space="preserve"> Services has the worst safety record based on accident frequency, with 43 incidents, the highest among all subcontractors.</w:t>
      </w:r>
    </w:p>
    <w:p w14:paraId="493B0B5E" w14:textId="77777777" w:rsidR="006906AF" w:rsidRPr="00EF5186" w:rsidRDefault="006906AF" w:rsidP="006906AF">
      <w:pPr>
        <w:numPr>
          <w:ilvl w:val="0"/>
          <w:numId w:val="14"/>
        </w:numPr>
        <w:rPr>
          <w:rFonts w:ascii="Times New Roman" w:hAnsi="Times New Roman" w:cs="Times New Roman"/>
        </w:rPr>
      </w:pPr>
      <w:r w:rsidRPr="00EF5186">
        <w:rPr>
          <w:rFonts w:ascii="Times New Roman" w:hAnsi="Times New Roman" w:cs="Times New Roman"/>
        </w:rPr>
        <w:t>Civic Ground Engineering has the highest severity impact, with 1,090 lost workdays and USD 1,026,524 in estimated accident costs.</w:t>
      </w:r>
    </w:p>
    <w:p w14:paraId="792FE1A6" w14:textId="77777777" w:rsidR="006906AF" w:rsidRPr="00EF5186" w:rsidRDefault="006906AF" w:rsidP="006906AF">
      <w:pPr>
        <w:numPr>
          <w:ilvl w:val="0"/>
          <w:numId w:val="14"/>
        </w:numPr>
        <w:rPr>
          <w:rFonts w:ascii="Times New Roman" w:hAnsi="Times New Roman" w:cs="Times New Roman"/>
        </w:rPr>
      </w:pPr>
      <w:r w:rsidRPr="00EF5186">
        <w:rPr>
          <w:rFonts w:ascii="Times New Roman" w:hAnsi="Times New Roman" w:cs="Times New Roman"/>
        </w:rPr>
        <w:t xml:space="preserve">Therefore, if “worst safety record” means the highest number of accidents, the answer is </w:t>
      </w:r>
      <w:proofErr w:type="spellStart"/>
      <w:r w:rsidRPr="00EF5186">
        <w:rPr>
          <w:rFonts w:ascii="Times New Roman" w:hAnsi="Times New Roman" w:cs="Times New Roman"/>
        </w:rPr>
        <w:t>ElectroTech</w:t>
      </w:r>
      <w:proofErr w:type="spellEnd"/>
      <w:r w:rsidRPr="00EF5186">
        <w:rPr>
          <w:rFonts w:ascii="Times New Roman" w:hAnsi="Times New Roman" w:cs="Times New Roman"/>
        </w:rPr>
        <w:t xml:space="preserve"> Services.</w:t>
      </w:r>
    </w:p>
    <w:p w14:paraId="3CF0889A" w14:textId="77777777" w:rsidR="006906AF" w:rsidRPr="00EF5186" w:rsidRDefault="006906AF" w:rsidP="006906AF">
      <w:pPr>
        <w:numPr>
          <w:ilvl w:val="0"/>
          <w:numId w:val="14"/>
        </w:numPr>
        <w:rPr>
          <w:rFonts w:ascii="Times New Roman" w:hAnsi="Times New Roman" w:cs="Times New Roman"/>
        </w:rPr>
      </w:pPr>
      <w:r w:rsidRPr="00EF5186">
        <w:rPr>
          <w:rFonts w:ascii="Times New Roman" w:hAnsi="Times New Roman" w:cs="Times New Roman"/>
        </w:rPr>
        <w:t>If the assessment is based on overall severity and financial impact, Civic Ground Engineering is the most concerning subcontractor.</w:t>
      </w:r>
    </w:p>
    <w:p w14:paraId="72B559FA" w14:textId="77777777" w:rsidR="006906AF" w:rsidRPr="00EF5186" w:rsidRDefault="006906AF" w:rsidP="006906AF">
      <w:pPr>
        <w:rPr>
          <w:rFonts w:ascii="Times New Roman" w:hAnsi="Times New Roman" w:cs="Times New Roman"/>
        </w:rPr>
      </w:pPr>
      <w:r w:rsidRPr="00EF5186">
        <w:rPr>
          <w:rFonts w:ascii="Times New Roman" w:hAnsi="Times New Roman" w:cs="Times New Roman"/>
        </w:rPr>
        <w:t>Professional Conclusion</w:t>
      </w:r>
    </w:p>
    <w:p w14:paraId="3249CA73" w14:textId="77777777" w:rsidR="006906AF" w:rsidRPr="00EF5186" w:rsidRDefault="006906AF" w:rsidP="006906AF">
      <w:pPr>
        <w:rPr>
          <w:rFonts w:ascii="Times New Roman" w:hAnsi="Times New Roman" w:cs="Times New Roman"/>
        </w:rPr>
      </w:pPr>
      <w:proofErr w:type="spellStart"/>
      <w:r w:rsidRPr="00EF5186">
        <w:rPr>
          <w:rFonts w:ascii="Times New Roman" w:hAnsi="Times New Roman" w:cs="Times New Roman"/>
        </w:rPr>
        <w:t>ElectroTech</w:t>
      </w:r>
      <w:proofErr w:type="spellEnd"/>
      <w:r w:rsidRPr="00EF5186">
        <w:rPr>
          <w:rFonts w:ascii="Times New Roman" w:hAnsi="Times New Roman" w:cs="Times New Roman"/>
        </w:rPr>
        <w:t xml:space="preserve"> Services has the highest accident frequency, with 43 recorded incidents, and therefore has the poorest safety record based on incident count. However, Civic Ground Engineering requires particularly urgent management attention because its incidents resulted in the highest number of lost workdays (1,090) and the highest estimated financial cost (USD 1,026,524).</w:t>
      </w:r>
    </w:p>
    <w:p w14:paraId="55E4A996"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lastRenderedPageBreak/>
        <w:t>9) Are Newer, Inexperienced Workers Getting Hurt More Often?</w:t>
      </w:r>
    </w:p>
    <w:p w14:paraId="404AD4FB"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 xml:space="preserve">The database was </w:t>
      </w:r>
      <w:proofErr w:type="spellStart"/>
      <w:r w:rsidRPr="00EF5186">
        <w:rPr>
          <w:rFonts w:ascii="Times New Roman" w:hAnsi="Times New Roman" w:cs="Times New Roman"/>
        </w:rPr>
        <w:t>analyzed</w:t>
      </w:r>
      <w:proofErr w:type="spellEnd"/>
      <w:r w:rsidRPr="00EF5186">
        <w:rPr>
          <w:rFonts w:ascii="Times New Roman" w:hAnsi="Times New Roman" w:cs="Times New Roman"/>
        </w:rPr>
        <w:t xml:space="preserve"> using </w:t>
      </w:r>
      <w:proofErr w:type="spellStart"/>
      <w:r w:rsidRPr="00EF5186">
        <w:rPr>
          <w:rFonts w:ascii="Times New Roman" w:hAnsi="Times New Roman" w:cs="Times New Roman"/>
        </w:rPr>
        <w:t>Worker_Experience_Years</w:t>
      </w:r>
      <w:proofErr w:type="spellEnd"/>
      <w:r w:rsidRPr="00EF5186">
        <w:rPr>
          <w:rFonts w:ascii="Times New Roman" w:hAnsi="Times New Roman" w:cs="Times New Roman"/>
        </w:rPr>
        <w:t xml:space="preserve"> to compare less-experienced and experienced workers.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047"/>
        <w:gridCol w:w="1460"/>
        <w:gridCol w:w="1040"/>
        <w:gridCol w:w="2235"/>
      </w:tblGrid>
      <w:tr w:rsidR="00EF5186" w:rsidRPr="00EF5186" w14:paraId="17C62A8B" w14:textId="77777777">
        <w:trPr>
          <w:tblHeader/>
          <w:tblCellSpacing w:w="15" w:type="dxa"/>
        </w:trPr>
        <w:tc>
          <w:tcPr>
            <w:tcW w:w="0" w:type="auto"/>
            <w:vAlign w:val="center"/>
            <w:hideMark/>
          </w:tcPr>
          <w:p w14:paraId="11D973D5"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Experience Level</w:t>
            </w:r>
          </w:p>
        </w:tc>
        <w:tc>
          <w:tcPr>
            <w:tcW w:w="0" w:type="auto"/>
            <w:vAlign w:val="center"/>
            <w:hideMark/>
          </w:tcPr>
          <w:p w14:paraId="5E3D7344"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Number of Incidents</w:t>
            </w:r>
          </w:p>
        </w:tc>
        <w:tc>
          <w:tcPr>
            <w:tcW w:w="0" w:type="auto"/>
            <w:vAlign w:val="center"/>
            <w:hideMark/>
          </w:tcPr>
          <w:p w14:paraId="767BDD14"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 of Incidents</w:t>
            </w:r>
          </w:p>
        </w:tc>
        <w:tc>
          <w:tcPr>
            <w:tcW w:w="0" w:type="auto"/>
            <w:vAlign w:val="center"/>
            <w:hideMark/>
          </w:tcPr>
          <w:p w14:paraId="08DD3F41"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Days Lost</w:t>
            </w:r>
          </w:p>
        </w:tc>
        <w:tc>
          <w:tcPr>
            <w:tcW w:w="0" w:type="auto"/>
            <w:vAlign w:val="center"/>
            <w:hideMark/>
          </w:tcPr>
          <w:p w14:paraId="2AD0652D"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Estimated Cost (USD)</w:t>
            </w:r>
          </w:p>
        </w:tc>
      </w:tr>
      <w:tr w:rsidR="00EF5186" w:rsidRPr="00EF5186" w14:paraId="3B702ED6" w14:textId="77777777">
        <w:trPr>
          <w:tblCellSpacing w:w="15" w:type="dxa"/>
        </w:trPr>
        <w:tc>
          <w:tcPr>
            <w:tcW w:w="0" w:type="auto"/>
            <w:vAlign w:val="center"/>
            <w:hideMark/>
          </w:tcPr>
          <w:p w14:paraId="285ADD01"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0–1 year</w:t>
            </w:r>
          </w:p>
        </w:tc>
        <w:tc>
          <w:tcPr>
            <w:tcW w:w="0" w:type="auto"/>
            <w:vAlign w:val="center"/>
            <w:hideMark/>
          </w:tcPr>
          <w:p w14:paraId="40DD4648"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9</w:t>
            </w:r>
          </w:p>
        </w:tc>
        <w:tc>
          <w:tcPr>
            <w:tcW w:w="0" w:type="auto"/>
            <w:vAlign w:val="center"/>
            <w:hideMark/>
          </w:tcPr>
          <w:p w14:paraId="03DE069C"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3.6%</w:t>
            </w:r>
          </w:p>
        </w:tc>
        <w:tc>
          <w:tcPr>
            <w:tcW w:w="0" w:type="auto"/>
            <w:vAlign w:val="center"/>
            <w:hideMark/>
          </w:tcPr>
          <w:p w14:paraId="77B048F7"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345</w:t>
            </w:r>
          </w:p>
        </w:tc>
        <w:tc>
          <w:tcPr>
            <w:tcW w:w="0" w:type="auto"/>
            <w:vAlign w:val="center"/>
            <w:hideMark/>
          </w:tcPr>
          <w:p w14:paraId="40EC11B5"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$362,313</w:t>
            </w:r>
          </w:p>
        </w:tc>
      </w:tr>
      <w:tr w:rsidR="00EF5186" w:rsidRPr="00EF5186" w14:paraId="059491CF" w14:textId="77777777">
        <w:trPr>
          <w:tblCellSpacing w:w="15" w:type="dxa"/>
        </w:trPr>
        <w:tc>
          <w:tcPr>
            <w:tcW w:w="0" w:type="auto"/>
            <w:vAlign w:val="center"/>
            <w:hideMark/>
          </w:tcPr>
          <w:p w14:paraId="59C198AA"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2–3 years</w:t>
            </w:r>
          </w:p>
        </w:tc>
        <w:tc>
          <w:tcPr>
            <w:tcW w:w="0" w:type="auto"/>
            <w:vAlign w:val="center"/>
            <w:hideMark/>
          </w:tcPr>
          <w:p w14:paraId="730A9230"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21</w:t>
            </w:r>
          </w:p>
        </w:tc>
        <w:tc>
          <w:tcPr>
            <w:tcW w:w="0" w:type="auto"/>
            <w:vAlign w:val="center"/>
            <w:hideMark/>
          </w:tcPr>
          <w:p w14:paraId="779732DF"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8.4%</w:t>
            </w:r>
          </w:p>
        </w:tc>
        <w:tc>
          <w:tcPr>
            <w:tcW w:w="0" w:type="auto"/>
            <w:vAlign w:val="center"/>
            <w:hideMark/>
          </w:tcPr>
          <w:p w14:paraId="7E878387"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290</w:t>
            </w:r>
          </w:p>
        </w:tc>
        <w:tc>
          <w:tcPr>
            <w:tcW w:w="0" w:type="auto"/>
            <w:vAlign w:val="center"/>
            <w:hideMark/>
          </w:tcPr>
          <w:p w14:paraId="2FCDCF40"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$296,226</w:t>
            </w:r>
          </w:p>
        </w:tc>
      </w:tr>
      <w:tr w:rsidR="00EF5186" w:rsidRPr="00EF5186" w14:paraId="40D598CE" w14:textId="77777777">
        <w:trPr>
          <w:tblCellSpacing w:w="15" w:type="dxa"/>
        </w:trPr>
        <w:tc>
          <w:tcPr>
            <w:tcW w:w="0" w:type="auto"/>
            <w:vAlign w:val="center"/>
            <w:hideMark/>
          </w:tcPr>
          <w:p w14:paraId="2FAA7796"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4–5 years</w:t>
            </w:r>
          </w:p>
        </w:tc>
        <w:tc>
          <w:tcPr>
            <w:tcW w:w="0" w:type="auto"/>
            <w:vAlign w:val="center"/>
            <w:hideMark/>
          </w:tcPr>
          <w:p w14:paraId="39BA709C"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21</w:t>
            </w:r>
          </w:p>
        </w:tc>
        <w:tc>
          <w:tcPr>
            <w:tcW w:w="0" w:type="auto"/>
            <w:vAlign w:val="center"/>
            <w:hideMark/>
          </w:tcPr>
          <w:p w14:paraId="407EF693"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8.4%</w:t>
            </w:r>
          </w:p>
        </w:tc>
        <w:tc>
          <w:tcPr>
            <w:tcW w:w="0" w:type="auto"/>
            <w:vAlign w:val="center"/>
            <w:hideMark/>
          </w:tcPr>
          <w:p w14:paraId="61C64070"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620</w:t>
            </w:r>
          </w:p>
        </w:tc>
        <w:tc>
          <w:tcPr>
            <w:tcW w:w="0" w:type="auto"/>
            <w:vAlign w:val="center"/>
            <w:hideMark/>
          </w:tcPr>
          <w:p w14:paraId="0DA2FD21"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$535,266</w:t>
            </w:r>
          </w:p>
        </w:tc>
      </w:tr>
      <w:tr w:rsidR="00EF5186" w:rsidRPr="00EF5186" w14:paraId="11FE0AF7" w14:textId="77777777">
        <w:trPr>
          <w:tblCellSpacing w:w="15" w:type="dxa"/>
        </w:trPr>
        <w:tc>
          <w:tcPr>
            <w:tcW w:w="0" w:type="auto"/>
            <w:vAlign w:val="center"/>
            <w:hideMark/>
          </w:tcPr>
          <w:p w14:paraId="5D53EB0E"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More than 5 years</w:t>
            </w:r>
          </w:p>
        </w:tc>
        <w:tc>
          <w:tcPr>
            <w:tcW w:w="0" w:type="auto"/>
            <w:vAlign w:val="center"/>
            <w:hideMark/>
          </w:tcPr>
          <w:p w14:paraId="776D5837"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199</w:t>
            </w:r>
          </w:p>
        </w:tc>
        <w:tc>
          <w:tcPr>
            <w:tcW w:w="0" w:type="auto"/>
            <w:vAlign w:val="center"/>
            <w:hideMark/>
          </w:tcPr>
          <w:p w14:paraId="38DE37E8"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79.6%</w:t>
            </w:r>
          </w:p>
        </w:tc>
        <w:tc>
          <w:tcPr>
            <w:tcW w:w="0" w:type="auto"/>
            <w:vAlign w:val="center"/>
            <w:hideMark/>
          </w:tcPr>
          <w:p w14:paraId="401397EC"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4,565</w:t>
            </w:r>
          </w:p>
        </w:tc>
        <w:tc>
          <w:tcPr>
            <w:tcW w:w="0" w:type="auto"/>
            <w:vAlign w:val="center"/>
            <w:hideMark/>
          </w:tcPr>
          <w:p w14:paraId="4AB80E01"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$4,452,545</w:t>
            </w:r>
          </w:p>
        </w:tc>
      </w:tr>
      <w:tr w:rsidR="00EF5186" w:rsidRPr="00EF5186" w14:paraId="3A8BBC07" w14:textId="77777777">
        <w:trPr>
          <w:tblCellSpacing w:w="15" w:type="dxa"/>
        </w:trPr>
        <w:tc>
          <w:tcPr>
            <w:tcW w:w="0" w:type="auto"/>
            <w:vAlign w:val="center"/>
            <w:hideMark/>
          </w:tcPr>
          <w:p w14:paraId="59F76DF6"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Total</w:t>
            </w:r>
          </w:p>
        </w:tc>
        <w:tc>
          <w:tcPr>
            <w:tcW w:w="0" w:type="auto"/>
            <w:vAlign w:val="center"/>
            <w:hideMark/>
          </w:tcPr>
          <w:p w14:paraId="0442541B"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250</w:t>
            </w:r>
          </w:p>
        </w:tc>
        <w:tc>
          <w:tcPr>
            <w:tcW w:w="0" w:type="auto"/>
            <w:vAlign w:val="center"/>
            <w:hideMark/>
          </w:tcPr>
          <w:p w14:paraId="7FA14C32"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100%</w:t>
            </w:r>
          </w:p>
        </w:tc>
        <w:tc>
          <w:tcPr>
            <w:tcW w:w="0" w:type="auto"/>
            <w:vAlign w:val="center"/>
            <w:hideMark/>
          </w:tcPr>
          <w:p w14:paraId="69F529CD"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5,820</w:t>
            </w:r>
          </w:p>
        </w:tc>
        <w:tc>
          <w:tcPr>
            <w:tcW w:w="0" w:type="auto"/>
            <w:vAlign w:val="center"/>
            <w:hideMark/>
          </w:tcPr>
          <w:p w14:paraId="7D517F40"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$5,646,350</w:t>
            </w:r>
          </w:p>
        </w:tc>
      </w:tr>
    </w:tbl>
    <w:p w14:paraId="1DB92319"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Key Findings</w:t>
      </w:r>
    </w:p>
    <w:p w14:paraId="628445A7" w14:textId="77777777" w:rsidR="00EF5186" w:rsidRPr="00EF5186" w:rsidRDefault="00EF5186" w:rsidP="00EF5186">
      <w:pPr>
        <w:numPr>
          <w:ilvl w:val="0"/>
          <w:numId w:val="15"/>
        </w:numPr>
        <w:rPr>
          <w:rFonts w:ascii="Times New Roman" w:hAnsi="Times New Roman" w:cs="Times New Roman"/>
        </w:rPr>
      </w:pPr>
      <w:r w:rsidRPr="00EF5186">
        <w:rPr>
          <w:rFonts w:ascii="Times New Roman" w:hAnsi="Times New Roman" w:cs="Times New Roman"/>
        </w:rPr>
        <w:t>Workers with more than 5 years of experience account for the majority of recorded incidents (79.6%).</w:t>
      </w:r>
    </w:p>
    <w:p w14:paraId="07711421" w14:textId="77777777" w:rsidR="00EF5186" w:rsidRPr="00EF5186" w:rsidRDefault="00EF5186" w:rsidP="00EF5186">
      <w:pPr>
        <w:numPr>
          <w:ilvl w:val="0"/>
          <w:numId w:val="15"/>
        </w:numPr>
        <w:rPr>
          <w:rFonts w:ascii="Times New Roman" w:hAnsi="Times New Roman" w:cs="Times New Roman"/>
        </w:rPr>
      </w:pPr>
      <w:r w:rsidRPr="00EF5186">
        <w:rPr>
          <w:rFonts w:ascii="Times New Roman" w:hAnsi="Times New Roman" w:cs="Times New Roman"/>
        </w:rPr>
        <w:t>Workers with 0–1 year of experience account for only 9 incidents (3.6%).</w:t>
      </w:r>
    </w:p>
    <w:p w14:paraId="181DDE27" w14:textId="77777777" w:rsidR="00EF5186" w:rsidRPr="00EF5186" w:rsidRDefault="00EF5186" w:rsidP="00EF5186">
      <w:pPr>
        <w:numPr>
          <w:ilvl w:val="0"/>
          <w:numId w:val="15"/>
        </w:numPr>
        <w:rPr>
          <w:rFonts w:ascii="Times New Roman" w:hAnsi="Times New Roman" w:cs="Times New Roman"/>
        </w:rPr>
      </w:pPr>
      <w:r w:rsidRPr="00EF5186">
        <w:rPr>
          <w:rFonts w:ascii="Times New Roman" w:hAnsi="Times New Roman" w:cs="Times New Roman"/>
        </w:rPr>
        <w:t>Therefore, based on the number of recorded incidents, newer workers are not getting hurt more often than experienced workers.</w:t>
      </w:r>
    </w:p>
    <w:p w14:paraId="4CE03F6E" w14:textId="77777777" w:rsidR="00EF5186" w:rsidRPr="00EF5186" w:rsidRDefault="00EF5186" w:rsidP="00EF5186">
      <w:pPr>
        <w:numPr>
          <w:ilvl w:val="0"/>
          <w:numId w:val="15"/>
        </w:numPr>
        <w:rPr>
          <w:rFonts w:ascii="Times New Roman" w:hAnsi="Times New Roman" w:cs="Times New Roman"/>
        </w:rPr>
      </w:pPr>
      <w:r w:rsidRPr="00EF5186">
        <w:rPr>
          <w:rFonts w:ascii="Times New Roman" w:hAnsi="Times New Roman" w:cs="Times New Roman"/>
        </w:rPr>
        <w:t>However, the database does not provide the total number of workers in each experience group or their total hours worked. Therefore, we cannot calculate the true injury rate per worker or per working hour.</w:t>
      </w:r>
    </w:p>
    <w:p w14:paraId="51EE40D1"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Professional Conclusion</w:t>
      </w:r>
    </w:p>
    <w:p w14:paraId="3C39744F"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No. Based on the available accident records, newer/inexperienced workers are not experiencing more accidents than experienced workers. The majority of incidents involve workers with more than five years of experience. However, this finding should be interpreted cautiously because the database does not contain workforce exposure data, such as the number of employees or hours worked in each experience category.</w:t>
      </w:r>
    </w:p>
    <w:p w14:paraId="1D2B204C"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10) Are Workers Actively Reporting Near-Misses Before Real Accidents Happen?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0"/>
        <w:gridCol w:w="1156"/>
      </w:tblGrid>
      <w:tr w:rsidR="00EF5186" w:rsidRPr="00EF5186" w14:paraId="013C1EDD" w14:textId="77777777">
        <w:trPr>
          <w:tblHeader/>
          <w:tblCellSpacing w:w="15" w:type="dxa"/>
        </w:trPr>
        <w:tc>
          <w:tcPr>
            <w:tcW w:w="0" w:type="auto"/>
            <w:vAlign w:val="center"/>
            <w:hideMark/>
          </w:tcPr>
          <w:p w14:paraId="1A82CBD8"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Parameter</w:t>
            </w:r>
          </w:p>
        </w:tc>
        <w:tc>
          <w:tcPr>
            <w:tcW w:w="0" w:type="auto"/>
            <w:vAlign w:val="center"/>
            <w:hideMark/>
          </w:tcPr>
          <w:p w14:paraId="26D2D4D8"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Result</w:t>
            </w:r>
          </w:p>
        </w:tc>
      </w:tr>
      <w:tr w:rsidR="00EF5186" w:rsidRPr="00EF5186" w14:paraId="446E0CFF" w14:textId="77777777">
        <w:trPr>
          <w:tblCellSpacing w:w="15" w:type="dxa"/>
        </w:trPr>
        <w:tc>
          <w:tcPr>
            <w:tcW w:w="0" w:type="auto"/>
            <w:vAlign w:val="center"/>
            <w:hideMark/>
          </w:tcPr>
          <w:p w14:paraId="7A78C731"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Total incidents recorded</w:t>
            </w:r>
          </w:p>
        </w:tc>
        <w:tc>
          <w:tcPr>
            <w:tcW w:w="0" w:type="auto"/>
            <w:vAlign w:val="center"/>
            <w:hideMark/>
          </w:tcPr>
          <w:p w14:paraId="067EAAE0"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250</w:t>
            </w:r>
          </w:p>
        </w:tc>
      </w:tr>
      <w:tr w:rsidR="00EF5186" w:rsidRPr="00EF5186" w14:paraId="0DCD5E7D" w14:textId="77777777">
        <w:trPr>
          <w:tblCellSpacing w:w="15" w:type="dxa"/>
        </w:trPr>
        <w:tc>
          <w:tcPr>
            <w:tcW w:w="0" w:type="auto"/>
            <w:vAlign w:val="center"/>
            <w:hideMark/>
          </w:tcPr>
          <w:p w14:paraId="4CF56043"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Near-miss incidents reported</w:t>
            </w:r>
          </w:p>
        </w:tc>
        <w:tc>
          <w:tcPr>
            <w:tcW w:w="0" w:type="auto"/>
            <w:vAlign w:val="center"/>
            <w:hideMark/>
          </w:tcPr>
          <w:p w14:paraId="7C7ACB12"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30</w:t>
            </w:r>
          </w:p>
        </w:tc>
      </w:tr>
      <w:tr w:rsidR="00EF5186" w:rsidRPr="00EF5186" w14:paraId="509733FB" w14:textId="77777777">
        <w:trPr>
          <w:tblCellSpacing w:w="15" w:type="dxa"/>
        </w:trPr>
        <w:tc>
          <w:tcPr>
            <w:tcW w:w="0" w:type="auto"/>
            <w:vAlign w:val="center"/>
            <w:hideMark/>
          </w:tcPr>
          <w:p w14:paraId="1AAE9916"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Near-miss reporting rate</w:t>
            </w:r>
          </w:p>
        </w:tc>
        <w:tc>
          <w:tcPr>
            <w:tcW w:w="0" w:type="auto"/>
            <w:vAlign w:val="center"/>
            <w:hideMark/>
          </w:tcPr>
          <w:p w14:paraId="373392E5"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12.0%</w:t>
            </w:r>
          </w:p>
        </w:tc>
      </w:tr>
      <w:tr w:rsidR="00EF5186" w:rsidRPr="00EF5186" w14:paraId="71FB21EA" w14:textId="77777777">
        <w:trPr>
          <w:tblCellSpacing w:w="15" w:type="dxa"/>
        </w:trPr>
        <w:tc>
          <w:tcPr>
            <w:tcW w:w="0" w:type="auto"/>
            <w:vAlign w:val="center"/>
            <w:hideMark/>
          </w:tcPr>
          <w:p w14:paraId="53B20763"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Days lost from near-misses</w:t>
            </w:r>
          </w:p>
        </w:tc>
        <w:tc>
          <w:tcPr>
            <w:tcW w:w="0" w:type="auto"/>
            <w:vAlign w:val="center"/>
            <w:hideMark/>
          </w:tcPr>
          <w:p w14:paraId="6FD24DAF"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0 days</w:t>
            </w:r>
          </w:p>
        </w:tc>
      </w:tr>
      <w:tr w:rsidR="00EF5186" w:rsidRPr="00EF5186" w14:paraId="7442E783" w14:textId="77777777">
        <w:trPr>
          <w:tblCellSpacing w:w="15" w:type="dxa"/>
        </w:trPr>
        <w:tc>
          <w:tcPr>
            <w:tcW w:w="0" w:type="auto"/>
            <w:vAlign w:val="center"/>
            <w:hideMark/>
          </w:tcPr>
          <w:p w14:paraId="4A510B36"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lastRenderedPageBreak/>
              <w:t>Estimated cost of near-misses</w:t>
            </w:r>
          </w:p>
        </w:tc>
        <w:tc>
          <w:tcPr>
            <w:tcW w:w="0" w:type="auto"/>
            <w:vAlign w:val="center"/>
            <w:hideMark/>
          </w:tcPr>
          <w:p w14:paraId="2228048A"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USD 7,524</w:t>
            </w:r>
          </w:p>
        </w:tc>
      </w:tr>
    </w:tbl>
    <w:p w14:paraId="45B8946F"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Key Findings</w:t>
      </w:r>
    </w:p>
    <w:p w14:paraId="55234C4D" w14:textId="77777777" w:rsidR="00EF5186" w:rsidRPr="00EF5186" w:rsidRDefault="00EF5186" w:rsidP="00EF5186">
      <w:pPr>
        <w:numPr>
          <w:ilvl w:val="0"/>
          <w:numId w:val="16"/>
        </w:numPr>
        <w:rPr>
          <w:rFonts w:ascii="Times New Roman" w:hAnsi="Times New Roman" w:cs="Times New Roman"/>
        </w:rPr>
      </w:pPr>
      <w:r w:rsidRPr="00EF5186">
        <w:rPr>
          <w:rFonts w:ascii="Times New Roman" w:hAnsi="Times New Roman" w:cs="Times New Roman"/>
        </w:rPr>
        <w:t>The database contains 30 recorded Near Miss Hazard incidents, representing 12% of all 250 records.</w:t>
      </w:r>
    </w:p>
    <w:p w14:paraId="463307FB" w14:textId="77777777" w:rsidR="00EF5186" w:rsidRPr="00EF5186" w:rsidRDefault="00EF5186" w:rsidP="00EF5186">
      <w:pPr>
        <w:numPr>
          <w:ilvl w:val="0"/>
          <w:numId w:val="16"/>
        </w:numPr>
        <w:rPr>
          <w:rFonts w:ascii="Times New Roman" w:hAnsi="Times New Roman" w:cs="Times New Roman"/>
        </w:rPr>
      </w:pPr>
      <w:r w:rsidRPr="00EF5186">
        <w:rPr>
          <w:rFonts w:ascii="Times New Roman" w:hAnsi="Times New Roman" w:cs="Times New Roman"/>
        </w:rPr>
        <w:t>Near-miss incidents resulted in zero lost workdays, as expected because no injury-related absence was recorded.</w:t>
      </w:r>
    </w:p>
    <w:p w14:paraId="2EC5F224" w14:textId="77777777" w:rsidR="00EF5186" w:rsidRPr="00EF5186" w:rsidRDefault="00EF5186" w:rsidP="00EF5186">
      <w:pPr>
        <w:numPr>
          <w:ilvl w:val="0"/>
          <w:numId w:val="16"/>
        </w:numPr>
        <w:rPr>
          <w:rFonts w:ascii="Times New Roman" w:hAnsi="Times New Roman" w:cs="Times New Roman"/>
        </w:rPr>
      </w:pPr>
      <w:r w:rsidRPr="00EF5186">
        <w:rPr>
          <w:rFonts w:ascii="Times New Roman" w:hAnsi="Times New Roman" w:cs="Times New Roman"/>
        </w:rPr>
        <w:t>The presence of 30 near-miss reports indicates that workers are reporting potentially hazardous events before they result in injuries.</w:t>
      </w:r>
    </w:p>
    <w:p w14:paraId="7AE70D44" w14:textId="77777777" w:rsidR="00EF5186" w:rsidRPr="00EF5186" w:rsidRDefault="00EF5186" w:rsidP="00EF5186">
      <w:pPr>
        <w:numPr>
          <w:ilvl w:val="0"/>
          <w:numId w:val="16"/>
        </w:numPr>
        <w:rPr>
          <w:rFonts w:ascii="Times New Roman" w:hAnsi="Times New Roman" w:cs="Times New Roman"/>
        </w:rPr>
      </w:pPr>
      <w:r w:rsidRPr="00EF5186">
        <w:rPr>
          <w:rFonts w:ascii="Times New Roman" w:hAnsi="Times New Roman" w:cs="Times New Roman"/>
        </w:rPr>
        <w:t xml:space="preserve">However, without data on the total number of hazards or unsafe conditions observed, it is not possible to determine whether workers are reporting </w:t>
      </w:r>
      <w:r w:rsidRPr="00EF5186">
        <w:rPr>
          <w:rFonts w:ascii="Times New Roman" w:hAnsi="Times New Roman" w:cs="Times New Roman"/>
          <w:i/>
          <w:iCs/>
        </w:rPr>
        <w:t>all</w:t>
      </w:r>
      <w:r w:rsidRPr="00EF5186">
        <w:rPr>
          <w:rFonts w:ascii="Times New Roman" w:hAnsi="Times New Roman" w:cs="Times New Roman"/>
        </w:rPr>
        <w:t xml:space="preserve"> near-misses or only a portion of them.</w:t>
      </w:r>
    </w:p>
    <w:p w14:paraId="0CF4E0C5" w14:textId="77777777" w:rsidR="00EF5186" w:rsidRPr="00EF5186" w:rsidRDefault="00EF5186" w:rsidP="00EF5186">
      <w:pPr>
        <w:numPr>
          <w:ilvl w:val="0"/>
          <w:numId w:val="16"/>
        </w:numPr>
        <w:rPr>
          <w:rFonts w:ascii="Times New Roman" w:hAnsi="Times New Roman" w:cs="Times New Roman"/>
        </w:rPr>
      </w:pPr>
      <w:r w:rsidRPr="00EF5186">
        <w:rPr>
          <w:rFonts w:ascii="Times New Roman" w:hAnsi="Times New Roman" w:cs="Times New Roman"/>
        </w:rPr>
        <w:t>Near-miss reporting should be encouraged because it provides an opportunity to implement corrective actions before a serious accident occurs.</w:t>
      </w:r>
    </w:p>
    <w:p w14:paraId="295F8ACF"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Professional Conclusion</w:t>
      </w:r>
    </w:p>
    <w:p w14:paraId="515CE53D" w14:textId="77777777" w:rsidR="00EF5186" w:rsidRPr="00EF5186" w:rsidRDefault="00EF5186" w:rsidP="00EF5186">
      <w:pPr>
        <w:rPr>
          <w:rFonts w:ascii="Times New Roman" w:hAnsi="Times New Roman" w:cs="Times New Roman"/>
        </w:rPr>
      </w:pPr>
      <w:r w:rsidRPr="00EF5186">
        <w:rPr>
          <w:rFonts w:ascii="Times New Roman" w:hAnsi="Times New Roman" w:cs="Times New Roman"/>
        </w:rPr>
        <w:t>Yes, workers are reporting near-misses, with 30 near-miss incidents recorded in the database. However, the available data is insufficient to confirm whether near-misses are being reported consistently or proactively across all work sites. Management should strengthen the near-miss reporting system and monitor reporting trends, corrective-action closure rates, and recurring hazards.</w:t>
      </w:r>
    </w:p>
    <w:p w14:paraId="04C95695" w14:textId="77777777" w:rsidR="006906AF" w:rsidRPr="00EF5186" w:rsidRDefault="006906AF">
      <w:pPr>
        <w:rPr>
          <w:rFonts w:ascii="Times New Roman" w:hAnsi="Times New Roman" w:cs="Times New Roman"/>
        </w:rPr>
      </w:pPr>
    </w:p>
    <w:sectPr w:rsidR="006906AF" w:rsidRPr="00EF5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7B56"/>
    <w:multiLevelType w:val="multilevel"/>
    <w:tmpl w:val="CA4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F44EA"/>
    <w:multiLevelType w:val="multilevel"/>
    <w:tmpl w:val="1CAE8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D4319"/>
    <w:multiLevelType w:val="multilevel"/>
    <w:tmpl w:val="CC5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42019"/>
    <w:multiLevelType w:val="multilevel"/>
    <w:tmpl w:val="25CC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1505A"/>
    <w:multiLevelType w:val="multilevel"/>
    <w:tmpl w:val="C5A6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E7E68"/>
    <w:multiLevelType w:val="multilevel"/>
    <w:tmpl w:val="7330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F68C3"/>
    <w:multiLevelType w:val="multilevel"/>
    <w:tmpl w:val="8C40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82FC9"/>
    <w:multiLevelType w:val="multilevel"/>
    <w:tmpl w:val="F11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F0FE8"/>
    <w:multiLevelType w:val="multilevel"/>
    <w:tmpl w:val="BEA4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8350F"/>
    <w:multiLevelType w:val="multilevel"/>
    <w:tmpl w:val="87D4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821F1"/>
    <w:multiLevelType w:val="multilevel"/>
    <w:tmpl w:val="A5C0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9340C"/>
    <w:multiLevelType w:val="multilevel"/>
    <w:tmpl w:val="F062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A2AD1"/>
    <w:multiLevelType w:val="multilevel"/>
    <w:tmpl w:val="A532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E246B9"/>
    <w:multiLevelType w:val="multilevel"/>
    <w:tmpl w:val="B13E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67145"/>
    <w:multiLevelType w:val="multilevel"/>
    <w:tmpl w:val="8564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9946D8"/>
    <w:multiLevelType w:val="multilevel"/>
    <w:tmpl w:val="2AA4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93860">
    <w:abstractNumId w:val="2"/>
  </w:num>
  <w:num w:numId="2" w16cid:durableId="1138835711">
    <w:abstractNumId w:val="1"/>
  </w:num>
  <w:num w:numId="3" w16cid:durableId="413279118">
    <w:abstractNumId w:val="8"/>
  </w:num>
  <w:num w:numId="4" w16cid:durableId="1983655707">
    <w:abstractNumId w:val="15"/>
  </w:num>
  <w:num w:numId="5" w16cid:durableId="2086681184">
    <w:abstractNumId w:val="12"/>
  </w:num>
  <w:num w:numId="6" w16cid:durableId="1478720502">
    <w:abstractNumId w:val="5"/>
  </w:num>
  <w:num w:numId="7" w16cid:durableId="770129175">
    <w:abstractNumId w:val="11"/>
  </w:num>
  <w:num w:numId="8" w16cid:durableId="61831967">
    <w:abstractNumId w:val="0"/>
  </w:num>
  <w:num w:numId="9" w16cid:durableId="1657687269">
    <w:abstractNumId w:val="6"/>
  </w:num>
  <w:num w:numId="10" w16cid:durableId="1783918611">
    <w:abstractNumId w:val="4"/>
  </w:num>
  <w:num w:numId="11" w16cid:durableId="1387680642">
    <w:abstractNumId w:val="9"/>
  </w:num>
  <w:num w:numId="12" w16cid:durableId="802044955">
    <w:abstractNumId w:val="13"/>
  </w:num>
  <w:num w:numId="13" w16cid:durableId="2053726314">
    <w:abstractNumId w:val="7"/>
  </w:num>
  <w:num w:numId="14" w16cid:durableId="1094321267">
    <w:abstractNumId w:val="14"/>
  </w:num>
  <w:num w:numId="15" w16cid:durableId="1552184878">
    <w:abstractNumId w:val="10"/>
  </w:num>
  <w:num w:numId="16" w16cid:durableId="5091494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75F"/>
    <w:rsid w:val="000A175F"/>
    <w:rsid w:val="000D5274"/>
    <w:rsid w:val="00193156"/>
    <w:rsid w:val="004A0664"/>
    <w:rsid w:val="005851D9"/>
    <w:rsid w:val="006906AF"/>
    <w:rsid w:val="00A76393"/>
    <w:rsid w:val="00BF5B4C"/>
    <w:rsid w:val="00D02D08"/>
    <w:rsid w:val="00E01E34"/>
    <w:rsid w:val="00E06779"/>
    <w:rsid w:val="00EF5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8C2D8"/>
  <w15:chartTrackingRefBased/>
  <w15:docId w15:val="{7446D7B8-B17C-4AC0-9B8E-40C7A3D3D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75F"/>
    <w:rPr>
      <w:rFonts w:eastAsiaTheme="majorEastAsia" w:cstheme="majorBidi"/>
      <w:color w:val="272727" w:themeColor="text1" w:themeTint="D8"/>
    </w:rPr>
  </w:style>
  <w:style w:type="paragraph" w:styleId="Title">
    <w:name w:val="Title"/>
    <w:basedOn w:val="Normal"/>
    <w:next w:val="Normal"/>
    <w:link w:val="TitleChar"/>
    <w:uiPriority w:val="10"/>
    <w:qFormat/>
    <w:rsid w:val="000A1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75F"/>
    <w:pPr>
      <w:spacing w:before="160"/>
      <w:jc w:val="center"/>
    </w:pPr>
    <w:rPr>
      <w:i/>
      <w:iCs/>
      <w:color w:val="404040" w:themeColor="text1" w:themeTint="BF"/>
    </w:rPr>
  </w:style>
  <w:style w:type="character" w:customStyle="1" w:styleId="QuoteChar">
    <w:name w:val="Quote Char"/>
    <w:basedOn w:val="DefaultParagraphFont"/>
    <w:link w:val="Quote"/>
    <w:uiPriority w:val="29"/>
    <w:rsid w:val="000A175F"/>
    <w:rPr>
      <w:i/>
      <w:iCs/>
      <w:color w:val="404040" w:themeColor="text1" w:themeTint="BF"/>
    </w:rPr>
  </w:style>
  <w:style w:type="paragraph" w:styleId="ListParagraph">
    <w:name w:val="List Paragraph"/>
    <w:basedOn w:val="Normal"/>
    <w:uiPriority w:val="34"/>
    <w:qFormat/>
    <w:rsid w:val="000A175F"/>
    <w:pPr>
      <w:ind w:left="720"/>
      <w:contextualSpacing/>
    </w:pPr>
  </w:style>
  <w:style w:type="character" w:styleId="IntenseEmphasis">
    <w:name w:val="Intense Emphasis"/>
    <w:basedOn w:val="DefaultParagraphFont"/>
    <w:uiPriority w:val="21"/>
    <w:qFormat/>
    <w:rsid w:val="000A175F"/>
    <w:rPr>
      <w:i/>
      <w:iCs/>
      <w:color w:val="0F4761" w:themeColor="accent1" w:themeShade="BF"/>
    </w:rPr>
  </w:style>
  <w:style w:type="paragraph" w:styleId="IntenseQuote">
    <w:name w:val="Intense Quote"/>
    <w:basedOn w:val="Normal"/>
    <w:next w:val="Normal"/>
    <w:link w:val="IntenseQuoteChar"/>
    <w:uiPriority w:val="30"/>
    <w:qFormat/>
    <w:rsid w:val="000A1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75F"/>
    <w:rPr>
      <w:i/>
      <w:iCs/>
      <w:color w:val="0F4761" w:themeColor="accent1" w:themeShade="BF"/>
    </w:rPr>
  </w:style>
  <w:style w:type="character" w:styleId="IntenseReference">
    <w:name w:val="Intense Reference"/>
    <w:basedOn w:val="DefaultParagraphFont"/>
    <w:uiPriority w:val="32"/>
    <w:qFormat/>
    <w:rsid w:val="000A17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1975</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Meshram</dc:creator>
  <cp:keywords/>
  <dc:description/>
  <cp:lastModifiedBy>Shruti Meshram</cp:lastModifiedBy>
  <cp:revision>2</cp:revision>
  <dcterms:created xsi:type="dcterms:W3CDTF">2026-08-12T05:13:00Z</dcterms:created>
  <dcterms:modified xsi:type="dcterms:W3CDTF">2026-08-12T05:13:00Z</dcterms:modified>
</cp:coreProperties>
</file>