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TAVNIT1.0 pipeline (Hebrew </w:t>
      </w:r>
      <w:r w:rsidRPr="001877D2">
        <w:rPr>
          <w:rFonts w:asciiTheme="majorBidi" w:hAnsiTheme="majorBidi" w:cstheme="majorBidi"/>
          <w:i/>
          <w:iCs/>
          <w:sz w:val="24"/>
          <w:szCs w:val="24"/>
        </w:rPr>
        <w:t>tavnit</w:t>
      </w:r>
      <w:r w:rsidRPr="001877D2">
        <w:rPr>
          <w:rFonts w:asciiTheme="majorBidi" w:hAnsiTheme="majorBidi" w:cstheme="majorBidi"/>
          <w:sz w:val="24"/>
          <w:szCs w:val="24"/>
        </w:rPr>
        <w:t xml:space="preserve"> – pattern) is dedicated to cancer subtyping and subsequent subtype signature extracting. The pipeline compares cancer and non-cancer samples to extract quantified signatures that strictly detach cancer subtypes from all non-cancer cells. The signatures describe shifts in transcription levels in different cancers. The goal is to use these signatures as targets for cancer drugs.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  <w:rtl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pipeline is based on two algorithms: 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Constrained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Divisive algorithm for hierarchical clustering and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(an Ant Colony Optimization [ACO] algorithm) for extracting signatures of hierarchical clusters. The Constrained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Divisive algorithm </w:t>
      </w:r>
      <w:r>
        <w:rPr>
          <w:rFonts w:asciiTheme="majorBidi" w:hAnsiTheme="majorBidi" w:cstheme="majorBidi"/>
          <w:sz w:val="24"/>
          <w:szCs w:val="24"/>
        </w:rPr>
        <w:t>wa</w:t>
      </w:r>
      <w:r w:rsidRPr="001877D2">
        <w:rPr>
          <w:rFonts w:asciiTheme="majorBidi" w:hAnsiTheme="majorBidi" w:cstheme="majorBidi"/>
          <w:sz w:val="24"/>
          <w:szCs w:val="24"/>
        </w:rPr>
        <w:t xml:space="preserve">s developed by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Kestler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et al</w:t>
      </w:r>
      <w:r>
        <w:rPr>
          <w:rFonts w:asciiTheme="majorBidi" w:hAnsiTheme="majorBidi" w:cstheme="majorBidi"/>
          <w:sz w:val="24"/>
          <w:szCs w:val="24"/>
        </w:rPr>
        <w:t>.</w:t>
      </w:r>
      <w:r w:rsidRPr="001877D2">
        <w:rPr>
          <w:rFonts w:asciiTheme="majorBidi" w:hAnsiTheme="majorBidi" w:cstheme="majorBidi"/>
          <w:sz w:val="24"/>
          <w:szCs w:val="24"/>
        </w:rPr>
        <w:t xml:space="preserve"> [1].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is inspired by the ℎ</w:t>
      </w:r>
      <w:r w:rsidRPr="001877D2">
        <w:rPr>
          <w:rFonts w:ascii="Cambria Math" w:hAnsi="Cambria Math" w:cs="Cambria Math"/>
          <w:sz w:val="24"/>
          <w:szCs w:val="24"/>
        </w:rPr>
        <w:t>𝑚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AntMiner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order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[2] and Ant-Miner [3] algorithms.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clustering package consumes transcriptomic data </w:t>
      </w:r>
      <w:r>
        <w:rPr>
          <w:rFonts w:asciiTheme="majorBidi" w:hAnsiTheme="majorBidi" w:cstheme="majorBidi"/>
          <w:sz w:val="24"/>
          <w:szCs w:val="24"/>
        </w:rPr>
        <w:t>fr</w:t>
      </w:r>
      <w:r w:rsidRPr="001877D2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cancer and non-cancer samples. Notably, cancer and non-cancer samples can be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prelabeled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to cluster them apart. The clustering output is the input 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signature extraction. The signatures describ</w:t>
      </w:r>
      <w:r>
        <w:rPr>
          <w:rFonts w:asciiTheme="majorBidi" w:hAnsiTheme="majorBidi" w:cstheme="majorBidi"/>
          <w:sz w:val="24"/>
          <w:szCs w:val="24"/>
        </w:rPr>
        <w:t>e th</w:t>
      </w:r>
      <w:r w:rsidRPr="001877D2">
        <w:rPr>
          <w:rFonts w:asciiTheme="majorBidi" w:hAnsiTheme="majorBidi" w:cstheme="majorBidi"/>
          <w:sz w:val="24"/>
          <w:szCs w:val="24"/>
        </w:rPr>
        <w:t xml:space="preserve">e transcription levels of a number of genes to outline a number of samples. The signatures can be extracted for whole cells or for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surfaceome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only. An advantageous strategy is “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sufaceome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-only signatures from all-genes-included clustering.</w:t>
      </w:r>
      <w:r>
        <w:rPr>
          <w:rFonts w:asciiTheme="majorBidi" w:hAnsiTheme="majorBidi" w:cstheme="majorBidi"/>
          <w:sz w:val="24"/>
          <w:szCs w:val="24"/>
        </w:rPr>
        <w:t>”</w:t>
      </w:r>
      <w:r w:rsidRPr="001877D2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surfaceome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signatures can be used as targets for surface-recognizing gated drugs (e.g., CR-cells).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Future prospects include</w:t>
      </w:r>
      <w:r>
        <w:rPr>
          <w:rFonts w:asciiTheme="majorBidi" w:hAnsiTheme="majorBidi" w:cstheme="majorBidi"/>
          <w:sz w:val="24"/>
          <w:szCs w:val="24"/>
        </w:rPr>
        <w:t xml:space="preserve"> the following</w:t>
      </w:r>
      <w:r w:rsidRPr="001877D2">
        <w:rPr>
          <w:rFonts w:asciiTheme="majorBidi" w:hAnsiTheme="majorBidi" w:cstheme="majorBidi"/>
          <w:sz w:val="24"/>
          <w:szCs w:val="24"/>
        </w:rPr>
        <w:t>: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- the implementation of specific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omic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distance metrics [4,5]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- the assessment of clustering quality</w:t>
      </w:r>
    </w:p>
    <w:p w:rsidR="00F40BE4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the implementation of </w:t>
      </w:r>
      <w:r w:rsidRPr="001877D2">
        <w:rPr>
          <w:rFonts w:asciiTheme="majorBidi" w:hAnsiTheme="majorBidi" w:cstheme="majorBidi"/>
          <w:sz w:val="24"/>
          <w:szCs w:val="24"/>
        </w:rPr>
        <w:t>more options for term selection [6]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Theme="majorBidi" w:hAnsiTheme="majorBidi" w:cstheme="majorBidi"/>
          <w:sz w:val="24"/>
          <w:szCs w:val="24"/>
        </w:rPr>
        <w:t xml:space="preserve">N.B.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1877D2">
        <w:rPr>
          <w:rFonts w:asciiTheme="majorBidi" w:hAnsiTheme="majorBidi" w:cstheme="majorBidi"/>
          <w:sz w:val="24"/>
          <w:szCs w:val="24"/>
        </w:rPr>
        <w:t>Term</w:t>
      </w:r>
      <w:r>
        <w:rPr>
          <w:rFonts w:asciiTheme="majorBidi" w:hAnsiTheme="majorBidi" w:cstheme="majorBidi"/>
          <w:sz w:val="24"/>
          <w:szCs w:val="24"/>
        </w:rPr>
        <w:t>”</w:t>
      </w:r>
      <w:r w:rsidRPr="001877D2">
        <w:rPr>
          <w:rFonts w:asciiTheme="majorBidi" w:hAnsiTheme="majorBidi" w:cstheme="majorBidi"/>
          <w:sz w:val="24"/>
          <w:szCs w:val="24"/>
        </w:rPr>
        <w:t xml:space="preserve"> is a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1877D2">
        <w:rPr>
          <w:rFonts w:asciiTheme="majorBidi" w:hAnsiTheme="majorBidi" w:cstheme="majorBidi"/>
          <w:sz w:val="24"/>
          <w:szCs w:val="24"/>
        </w:rPr>
        <w:t>brick</w:t>
      </w:r>
      <w:r>
        <w:rPr>
          <w:rFonts w:asciiTheme="majorBidi" w:hAnsiTheme="majorBidi" w:cstheme="majorBidi"/>
          <w:sz w:val="24"/>
          <w:szCs w:val="24"/>
        </w:rPr>
        <w:t>”</w:t>
      </w:r>
      <w:r w:rsidRPr="001877D2">
        <w:rPr>
          <w:rFonts w:asciiTheme="majorBidi" w:hAnsiTheme="majorBidi" w:cstheme="majorBidi"/>
          <w:sz w:val="24"/>
          <w:szCs w:val="24"/>
        </w:rPr>
        <w:t xml:space="preserve"> for building signatures</w:t>
      </w:r>
      <w:r>
        <w:rPr>
          <w:rFonts w:asciiTheme="majorBidi" w:hAnsiTheme="majorBidi" w:cstheme="majorBidi"/>
          <w:sz w:val="24"/>
          <w:szCs w:val="24"/>
        </w:rPr>
        <w:t>.)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- the assessment of the applicability of the signatures for real-world drug design.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In addition to the people whose ideas directly served as the foundation for this pipeline, Dr</w:t>
      </w:r>
      <w:r>
        <w:rPr>
          <w:rFonts w:asciiTheme="majorBidi" w:hAnsiTheme="majorBidi" w:cstheme="majorBidi"/>
          <w:sz w:val="24"/>
          <w:szCs w:val="24"/>
        </w:rPr>
        <w:t>.</w:t>
      </w:r>
      <w:r w:rsidRPr="001877D2">
        <w:rPr>
          <w:rFonts w:asciiTheme="majorBidi" w:hAnsiTheme="majorBidi" w:cstheme="majorBidi"/>
          <w:sz w:val="24"/>
          <w:szCs w:val="24"/>
        </w:rPr>
        <w:t xml:space="preserve"> Marco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Dorigo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, the creator of ACO [7], and those who developed the applications of ACO and </w:t>
      </w:r>
      <w:r>
        <w:rPr>
          <w:rFonts w:asciiTheme="majorBidi" w:hAnsiTheme="majorBidi" w:cstheme="majorBidi"/>
          <w:sz w:val="24"/>
          <w:szCs w:val="24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ierarchical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multilabel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classification in biology [for a review, see 8]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are de</w:t>
      </w:r>
      <w:bookmarkStart w:id="0" w:name="_GoBack"/>
      <w:bookmarkEnd w:id="0"/>
      <w:r w:rsidRPr="001877D2">
        <w:rPr>
          <w:rFonts w:asciiTheme="majorBidi" w:hAnsiTheme="majorBidi" w:cstheme="majorBidi"/>
          <w:sz w:val="24"/>
          <w:szCs w:val="24"/>
        </w:rPr>
        <w:t>eply appreciated.</w:t>
      </w:r>
    </w:p>
    <w:p w:rsidR="00F40BE4" w:rsidRPr="001877D2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</w:rPr>
        <w:t>Kestler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HA, Kraus JM, Palm G, </w:t>
      </w:r>
      <w:proofErr w:type="spellStart"/>
      <w:r>
        <w:rPr>
          <w:rFonts w:asciiTheme="majorBidi" w:hAnsiTheme="majorBidi" w:cstheme="majorBidi"/>
          <w:sz w:val="24"/>
          <w:szCs w:val="24"/>
        </w:rPr>
        <w:t>Schwenker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F. On the Effects of Constraints in Semi-</w:t>
      </w:r>
      <w:proofErr w:type="gramStart"/>
      <w:r>
        <w:rPr>
          <w:rFonts w:asciiTheme="majorBidi" w:hAnsiTheme="majorBidi" w:cstheme="majorBidi"/>
          <w:sz w:val="24"/>
          <w:szCs w:val="24"/>
        </w:rPr>
        <w:t>supervised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Hierarchical Clustering. In: </w:t>
      </w:r>
      <w:proofErr w:type="spellStart"/>
      <w:r>
        <w:rPr>
          <w:rFonts w:asciiTheme="majorBidi" w:hAnsiTheme="majorBidi" w:cstheme="majorBidi"/>
          <w:sz w:val="24"/>
          <w:szCs w:val="24"/>
        </w:rPr>
        <w:t>Schwenker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F., </w:t>
      </w:r>
      <w:proofErr w:type="spellStart"/>
      <w:r>
        <w:rPr>
          <w:rFonts w:asciiTheme="majorBidi" w:hAnsiTheme="majorBidi" w:cstheme="majorBidi"/>
          <w:sz w:val="24"/>
          <w:szCs w:val="24"/>
        </w:rPr>
        <w:t>Marinai</w:t>
      </w:r>
      <w:proofErr w:type="spellEnd"/>
      <w:r>
        <w:rPr>
          <w:rFonts w:asciiTheme="majorBidi" w:hAnsiTheme="majorBidi" w:cstheme="majorBidi"/>
          <w:sz w:val="24"/>
          <w:szCs w:val="24"/>
        </w:rPr>
        <w:t>, S. (</w:t>
      </w:r>
      <w:proofErr w:type="spellStart"/>
      <w:r>
        <w:rPr>
          <w:rFonts w:asciiTheme="majorBidi" w:hAnsiTheme="majorBidi" w:cstheme="majorBidi"/>
          <w:sz w:val="24"/>
          <w:szCs w:val="24"/>
        </w:rPr>
        <w:t>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Artificial Neural Networks in Pattern Recognition. ANNPR 2006. </w:t>
      </w:r>
      <w:proofErr w:type="spellStart"/>
      <w:r>
        <w:rPr>
          <w:rFonts w:asciiTheme="majorBidi" w:hAnsiTheme="majorBidi" w:cstheme="majorBidi"/>
          <w:sz w:val="24"/>
          <w:szCs w:val="24"/>
        </w:rPr>
        <w:t>Lect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Notes </w:t>
      </w:r>
      <w:proofErr w:type="spellStart"/>
      <w:r>
        <w:rPr>
          <w:rFonts w:asciiTheme="majorBidi" w:hAnsiTheme="majorBidi" w:cstheme="majorBidi"/>
          <w:sz w:val="24"/>
          <w:szCs w:val="24"/>
        </w:rPr>
        <w:t>Comput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Sci. 2006; 4087: 57-66. Springer, Berlin, Heidelberg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2. Liang </w:t>
      </w:r>
      <w:proofErr w:type="spellStart"/>
      <w:r>
        <w:rPr>
          <w:rFonts w:asciiTheme="majorBidi" w:hAnsiTheme="majorBidi" w:cstheme="majorBidi"/>
          <w:sz w:val="24"/>
          <w:szCs w:val="24"/>
        </w:rPr>
        <w:t>Zh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Guo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R, Sun J, Ming </w:t>
      </w:r>
      <w:proofErr w:type="spellStart"/>
      <w:r>
        <w:rPr>
          <w:rFonts w:asciiTheme="majorBidi" w:hAnsiTheme="majorBidi" w:cstheme="majorBidi"/>
          <w:sz w:val="24"/>
          <w:szCs w:val="24"/>
        </w:rPr>
        <w:t>Zh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Zhu Z. Orderly Roulette Selection Based Ant Colony Algorithm for Hierarchical </w:t>
      </w:r>
      <w:proofErr w:type="spellStart"/>
      <w:r>
        <w:rPr>
          <w:rFonts w:asciiTheme="majorBidi" w:hAnsiTheme="majorBidi" w:cstheme="majorBidi"/>
          <w:sz w:val="24"/>
          <w:szCs w:val="24"/>
        </w:rPr>
        <w:t>Multilabel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Protein Function Prediction. Math </w:t>
      </w:r>
      <w:proofErr w:type="spellStart"/>
      <w:r>
        <w:rPr>
          <w:rFonts w:asciiTheme="majorBidi" w:hAnsiTheme="majorBidi" w:cstheme="majorBidi"/>
          <w:sz w:val="24"/>
          <w:szCs w:val="24"/>
        </w:rPr>
        <w:t>Probl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Eng</w:t>
      </w:r>
      <w:proofErr w:type="spellEnd"/>
      <w:r>
        <w:rPr>
          <w:rFonts w:asciiTheme="majorBidi" w:hAnsiTheme="majorBidi" w:cstheme="majorBidi"/>
          <w:sz w:val="24"/>
          <w:szCs w:val="24"/>
        </w:rPr>
        <w:t>, 2017 Jun 28.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</w:rPr>
        <w:t>Parpinelli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RS, Lopes HS, Freitas AA. Data mining with an ant colony optimization algorithm. In IEEE Transactions on Evolutionary Computation. 2002 Aug;6(4):321-332.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Nguyen VA, </w:t>
      </w:r>
      <w:proofErr w:type="spellStart"/>
      <w:r>
        <w:rPr>
          <w:rFonts w:asciiTheme="majorBidi" w:hAnsiTheme="majorBidi" w:cstheme="majorBidi"/>
          <w:sz w:val="24"/>
          <w:szCs w:val="24"/>
        </w:rPr>
        <w:t>Lió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P. Measuring similarity between gene expression profiles: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Bayesian approach. BMC Genomics. 2009 Dec 3;10 </w:t>
      </w:r>
      <w:proofErr w:type="spellStart"/>
      <w:r>
        <w:rPr>
          <w:rFonts w:asciiTheme="majorBidi" w:hAnsiTheme="majorBidi" w:cstheme="majorBidi"/>
          <w:sz w:val="24"/>
          <w:szCs w:val="24"/>
        </w:rPr>
        <w:t>Suppl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3:S</w:t>
      </w:r>
      <w:proofErr w:type="gramEnd"/>
      <w:r>
        <w:rPr>
          <w:rFonts w:asciiTheme="majorBidi" w:hAnsiTheme="majorBidi" w:cstheme="majorBidi"/>
          <w:sz w:val="24"/>
          <w:szCs w:val="24"/>
        </w:rPr>
        <w:t>14.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Wang V, </w:t>
      </w:r>
      <w:proofErr w:type="spellStart"/>
      <w:r>
        <w:rPr>
          <w:rFonts w:asciiTheme="majorBidi" w:hAnsiTheme="majorBidi" w:cstheme="majorBidi"/>
          <w:sz w:val="24"/>
          <w:szCs w:val="24"/>
        </w:rPr>
        <w:t>Cicalese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PA, Louis Sam Titus ASC, Mohan C. </w:t>
      </w:r>
      <w:proofErr w:type="spellStart"/>
      <w:r>
        <w:rPr>
          <w:rFonts w:asciiTheme="majorBidi" w:hAnsiTheme="majorBidi" w:cstheme="majorBidi"/>
          <w:sz w:val="24"/>
          <w:szCs w:val="24"/>
        </w:rPr>
        <w:t>Polaratio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A magnitude-contingent monotonic correlation metric and its improvements to </w:t>
      </w:r>
      <w:proofErr w:type="spellStart"/>
      <w:r>
        <w:rPr>
          <w:rFonts w:asciiTheme="majorBidi" w:hAnsiTheme="majorBidi" w:cstheme="majorBidi"/>
          <w:sz w:val="24"/>
          <w:szCs w:val="24"/>
        </w:rPr>
        <w:t>scRNA-seq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clustering. </w:t>
      </w:r>
      <w:proofErr w:type="spellStart"/>
      <w:r>
        <w:rPr>
          <w:rFonts w:asciiTheme="majorBidi" w:hAnsiTheme="majorBidi" w:cstheme="majorBidi"/>
          <w:sz w:val="24"/>
          <w:szCs w:val="24"/>
        </w:rPr>
        <w:t>bioRxiv</w:t>
      </w:r>
      <w:proofErr w:type="spellEnd"/>
      <w:r>
        <w:rPr>
          <w:rFonts w:asciiTheme="majorBidi" w:hAnsiTheme="majorBidi" w:cstheme="majorBidi"/>
          <w:sz w:val="24"/>
          <w:szCs w:val="24"/>
        </w:rPr>
        <w:t>; 2020.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proofErr w:type="spellStart"/>
      <w:r>
        <w:rPr>
          <w:rFonts w:asciiTheme="majorBidi" w:hAnsiTheme="majorBidi" w:cstheme="majorBidi"/>
          <w:sz w:val="24"/>
          <w:szCs w:val="24"/>
        </w:rPr>
        <w:t>Dulebenets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MA. Evaluation of Non-Parametric Selection Mechanisms in Evolutionary Computation: A Case Study for the Machine Scheduling Problem. Nature-inspired Methods for Stochastic, Robust and Dynamic Optimization [Internet]. 2018 Jul 18.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proofErr w:type="spellStart"/>
      <w:r>
        <w:rPr>
          <w:rFonts w:asciiTheme="majorBidi" w:hAnsiTheme="majorBidi" w:cstheme="majorBidi"/>
          <w:sz w:val="24"/>
          <w:szCs w:val="24"/>
        </w:rPr>
        <w:t>Dorigo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M. Optimization, learning and natural algorithms. PhD Thesis. </w:t>
      </w:r>
      <w:proofErr w:type="spellStart"/>
      <w:r>
        <w:rPr>
          <w:rFonts w:asciiTheme="majorBidi" w:hAnsiTheme="majorBidi" w:cstheme="majorBidi"/>
          <w:sz w:val="24"/>
          <w:szCs w:val="24"/>
        </w:rPr>
        <w:t>Politecnico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Milano. 1992.</w:t>
      </w:r>
    </w:p>
    <w:p w:rsidR="00B21081" w:rsidRP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Otero FEB, Freitas AA, Johnson CG. A hierarchical multi-label classification ant colony algorithm for protein function prediction. Memetic Comp. </w:t>
      </w:r>
      <w:proofErr w:type="gramStart"/>
      <w:r>
        <w:rPr>
          <w:rFonts w:asciiTheme="majorBidi" w:hAnsiTheme="majorBidi" w:cstheme="majorBidi"/>
          <w:sz w:val="24"/>
          <w:szCs w:val="24"/>
        </w:rPr>
        <w:t>2010;2:165</w:t>
      </w:r>
      <w:proofErr w:type="gramEnd"/>
      <w:r>
        <w:rPr>
          <w:rFonts w:asciiTheme="majorBidi" w:hAnsiTheme="majorBidi" w:cstheme="majorBidi"/>
          <w:sz w:val="24"/>
          <w:szCs w:val="24"/>
        </w:rPr>
        <w:t>–181.</w:t>
      </w:r>
    </w:p>
    <w:sectPr w:rsidR="00B21081" w:rsidRPr="00F40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4"/>
    <w:rsid w:val="00B21081"/>
    <w:rsid w:val="00F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DD41"/>
  <w15:chartTrackingRefBased/>
  <w15:docId w15:val="{3B1317E1-F831-4972-953B-7C69E79C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2023-02-08T13:43:00Z</dcterms:created>
  <dcterms:modified xsi:type="dcterms:W3CDTF">2023-02-08T13:45:00Z</dcterms:modified>
  <cp:category>transcriptomics; signature extraction; cancer subtyping</cp:category>
</cp:coreProperties>
</file>