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عقد تشغيل وصيانة مرافق — بلدية النقل</w:t>
      </w:r>
    </w:p>
    <w:p>
      <w:r>
        <w:t xml:space="preserve">بين بلدية النقل (الجهة المشترية) والشركة (المقاول).</w:t>
      </w:r>
    </w:p>
    <w:p>
      <w:pPr>
        <w:pStyle w:val="Heading2"/>
      </w:pPr>
      <w:r>
        <w:t xml:space="preserve">المادة 12 — تقارير الأداء الشهرية</w:t>
      </w:r>
    </w:p>
    <w:p>
      <w:r>
        <w:t xml:space="preserve">يقدم المقاول تقرير أداء شهريًا في اليوم الخامس من كل شهر عن الشهر السابق، متضمنًا ثمانية مؤشرات أداء رئيسية. توقّع التقرير مدير المشروع وتقرّه الجهة المشترية.</w:t>
      </w:r>
    </w:p>
    <w:p>
      <w:pPr>
        <w:pStyle w:val="Heading2"/>
      </w:pPr>
      <w:r>
        <w:t xml:space="preserve">المادة 14 — سجلات الصيانة الوقائية</w:t>
      </w:r>
    </w:p>
    <w:p>
      <w:r>
        <w:t xml:space="preserve">يحتفظ المقاول بسجلات الصيانة الوقائية الموقعة ويقدمها مع كل مستخلص شهري كشرط للصرف.</w:t>
      </w:r>
    </w:p>
    <w:p>
      <w:pPr>
        <w:pStyle w:val="Heading2"/>
      </w:pPr>
      <w:r>
        <w:t xml:space="preserve">المادة 18 — الربط بالمستخلص</w:t>
      </w:r>
    </w:p>
    <w:p>
      <w:r>
        <w:t xml:space="preserve">لا يُصرف المستخلص الشهري إلا بعد تقديم تقرير الأداء وتوقيع الجهة المشترية عليه بموجب المادة 18.3.</w:t>
      </w:r>
    </w:p>
    <w:p>
      <w:pPr>
        <w:pStyle w:val="Heading2"/>
      </w:pPr>
      <w:r>
        <w:t xml:space="preserve">المادة 21 — الجزاءات</w:t>
      </w:r>
    </w:p>
    <w:p>
      <w:r>
        <w:t xml:space="preserve">إذا تأخر المقاول عن التسليم في الموعد المحدد تُطبق غرامة خصم بمقدار 0.5% من قيمة البند لكل أسبوع تأخير.</w:t>
      </w:r>
    </w:p>
    <w:p>
      <w:pPr>
        <w:pStyle w:val="Heading2"/>
      </w:pPr>
      <w:r>
        <w:t xml:space="preserve">المادة 22 — الاعتمادات الخارجية</w:t>
      </w:r>
    </w:p>
    <w:p>
      <w:r>
        <w:t xml:space="preserve">يتطلب تشغيل المرحلة الثانية توقيع ممثل الجهة المشترية على شهادة جاهزية الموقع قبل البدء.</w:t>
      </w:r>
    </w:p>
    <w:p>
      <w:pPr>
        <w:pStyle w:val="Heading2"/>
      </w:pPr>
      <w:r>
        <w:t xml:space="preserve">المادة 23 — التقديم</w:t>
      </w:r>
    </w:p>
    <w:p>
      <w:r>
        <w:t xml:space="preserve">تقدم جميع التقارير عبر بوابة الجهة المشترية الإلكترونية إلى مكتب إدارة المشاريع PMO في اليوم الخامس من كل شهر.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2026-09-19T10:55:27.040Z</dcterms:created>
  <dcterms:modified xsi:type="dcterms:W3CDTF">2026-09-19T10:55:27.046Z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