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Data Center Operations — مركز البيانات</w:t>
      </w:r>
    </w:p>
    <w:p>
      <w:r>
        <w:t xml:space="preserve">Between الوزارة الرقمية and المشغل (الشركة).</w:t>
      </w:r>
    </w:p>
    <w:p>
      <w:pPr>
        <w:pStyle w:val="Heading2"/>
      </w:pPr>
      <w:r>
        <w:t xml:space="preserve">المادة 8 — SLA الاستمرارية / uptime</w:t>
      </w:r>
    </w:p>
    <w:p>
      <w:r>
        <w:t xml:space="preserve">يلتزم المشغل بتحقيق uptime بنسبة لا تقل عن 99.9% شهريًا، مع قياس شهري موثق.</w:t>
      </w:r>
    </w:p>
    <w:p>
      <w:pPr>
        <w:pStyle w:val="Heading2"/>
      </w:pPr>
      <w:r>
        <w:t xml:space="preserve">Clause 9 — Monthly uptime report</w:t>
      </w:r>
    </w:p>
    <w:p>
      <w:r>
        <w:t xml:space="preserve">The Operator shall submit a monthly uptime report by the 10th day following the period end, through the Client portal.</w:t>
      </w:r>
    </w:p>
    <w:p>
      <w:pPr>
        <w:pStyle w:val="Heading2"/>
      </w:pPr>
      <w:r>
        <w:t xml:space="preserve">المادة 11 — خصم الالتزام بالخدمة</w:t>
      </w:r>
    </w:p>
    <w:p>
      <w:r>
        <w:t xml:space="preserve">إذا انخفض الـuptime عن 99.9% في شهر ما، يخصم 1% من قيمة المستخلص الشهري عن هذا الشهر.</w:t>
      </w:r>
    </w:p>
    <w:p>
      <w:pPr>
        <w:pStyle w:val="Heading2"/>
      </w:pPr>
      <w:r>
        <w:t xml:space="preserve">Clause 12 — Client acknowledgement</w:t>
      </w:r>
    </w:p>
    <w:p>
      <w:r>
        <w:t xml:space="preserve">Monthly reports require Client acknowledgement via the Client portal before payment release.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2026-09-19T10:55:27.111Z</dcterms:created>
  <dcterms:modified xsi:type="dcterms:W3CDTF">2026-09-19T10:55:27.111Z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