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ملحق رقم 02 — تعديل المادة 23</w:t>
      </w:r>
    </w:p>
    <w:p>
      <w:r>
        <w:t xml:space="preserve">يعدّل ما ورد في المادة 23: تقدم التقارير الشهرية في اليوم السابع من كل شهر بدلًا من اليوم الخامس.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2026-09-19T10:55:27.086Z</dcterms:created>
  <dcterms:modified xsi:type="dcterms:W3CDTF">2026-09-19T10:55:27.086Z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