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7434" w14:textId="5A212522" w:rsidR="00C27982" w:rsidRDefault="00C27982" w:rsidP="001F5152">
      <w:pPr>
        <w:pStyle w:val="Heading1"/>
      </w:pPr>
      <w:r w:rsidRPr="001F5152">
        <w:t>Train.py</w:t>
      </w:r>
    </w:p>
    <w:p w14:paraId="3110B7A6" w14:textId="3E226DF7" w:rsidR="00CD1E00" w:rsidRDefault="004A10AC" w:rsidP="002F5D02">
      <w:r>
        <w:t>This file contains most hyperparameters you will be changing.</w:t>
      </w:r>
      <w:r w:rsidR="009B44F0">
        <w:t xml:space="preserve"> </w:t>
      </w:r>
      <w:r w:rsidR="001773CE">
        <w:t>Custom</w:t>
      </w:r>
      <w:r w:rsidR="009B44F0">
        <w:t xml:space="preserve"> dataset object handles </w:t>
      </w:r>
      <w:r w:rsidR="00F64EB9">
        <w:t xml:space="preserve">getting batches and shuffling input data. </w:t>
      </w:r>
      <w:r w:rsidR="000F3014">
        <w:t xml:space="preserve">Training process is straightforward, there are two plotting functions: </w:t>
      </w:r>
      <w:proofErr w:type="spellStart"/>
      <w:r w:rsidR="000F3014">
        <w:t>plot_reconstruction</w:t>
      </w:r>
      <w:proofErr w:type="spellEnd"/>
      <w:r w:rsidR="00D16586">
        <w:t xml:space="preserve"> and </w:t>
      </w:r>
      <w:proofErr w:type="spellStart"/>
      <w:r w:rsidR="00D16586">
        <w:t>plo</w:t>
      </w:r>
      <w:r w:rsidR="0061448E">
        <w:t>t_sample</w:t>
      </w:r>
      <w:proofErr w:type="spellEnd"/>
      <w:r w:rsidR="0061448E">
        <w:t xml:space="preserve">. </w:t>
      </w:r>
      <w:proofErr w:type="spellStart"/>
      <w:r w:rsidR="0061448E">
        <w:t>Plot_reconstruction</w:t>
      </w:r>
      <w:proofErr w:type="spellEnd"/>
      <w:r w:rsidR="0061448E">
        <w:t xml:space="preserve"> plots </w:t>
      </w:r>
      <w:r w:rsidR="00682133">
        <w:t xml:space="preserve">the one of the images from a batch along with its reconstruction after passing through the network. </w:t>
      </w:r>
      <w:proofErr w:type="spellStart"/>
      <w:r w:rsidR="00682133">
        <w:t>Plot_sample</w:t>
      </w:r>
      <w:proofErr w:type="spellEnd"/>
      <w:r w:rsidR="00682133">
        <w:t xml:space="preserve"> plots a grid of images that </w:t>
      </w:r>
      <w:r w:rsidR="002F5D02">
        <w:t xml:space="preserve">were created by sampling from the latent spaces of the network – this function is currently a work in progress. </w:t>
      </w:r>
      <w:r w:rsidR="005944D0">
        <w:t xml:space="preserve">Currently, checkpoints are saved through training and certain values are saved for </w:t>
      </w:r>
      <w:proofErr w:type="spellStart"/>
      <w:r w:rsidR="005944D0">
        <w:t>tensorboard</w:t>
      </w:r>
      <w:proofErr w:type="spellEnd"/>
      <w:r w:rsidR="005944D0">
        <w:t xml:space="preserve">. To Use </w:t>
      </w:r>
      <w:proofErr w:type="spellStart"/>
      <w:r w:rsidR="005944D0">
        <w:t>tensorboard</w:t>
      </w:r>
      <w:proofErr w:type="spellEnd"/>
      <w:r w:rsidR="00FC2744">
        <w:t xml:space="preserve">, </w:t>
      </w:r>
      <w:r w:rsidR="00EE04BD">
        <w:t xml:space="preserve">run </w:t>
      </w:r>
      <w:r w:rsidR="00FC2744">
        <w:t>“</w:t>
      </w:r>
      <w:proofErr w:type="spellStart"/>
      <w:r w:rsidR="00FC2744">
        <w:t>tensorboard</w:t>
      </w:r>
      <w:proofErr w:type="spellEnd"/>
      <w:r w:rsidR="00FC2744">
        <w:t xml:space="preserve"> </w:t>
      </w:r>
      <w:r w:rsidR="00EE04BD">
        <w:t>--</w:t>
      </w:r>
      <w:proofErr w:type="spellStart"/>
      <w:r w:rsidR="00FC2744">
        <w:t>logdir</w:t>
      </w:r>
      <w:proofErr w:type="spellEnd"/>
      <w:r w:rsidR="00FC2744">
        <w:t xml:space="preserve"> &lt;</w:t>
      </w:r>
      <w:r w:rsidR="002B5128">
        <w:t>path to log file</w:t>
      </w:r>
      <w:r w:rsidR="00FC2744">
        <w:t>&gt;”</w:t>
      </w:r>
      <w:r w:rsidR="00EE04BD">
        <w:t xml:space="preserve"> in console.</w:t>
      </w:r>
      <w:r w:rsidR="002B5128">
        <w:t xml:space="preserve"> It helps to only have 1 log file in the directory otherwise it will plot all of them.</w:t>
      </w:r>
      <w:r w:rsidR="00EE04BD">
        <w:t xml:space="preserve"> </w:t>
      </w:r>
    </w:p>
    <w:p w14:paraId="58DC51DD" w14:textId="2C793308" w:rsidR="00CD1E00" w:rsidRDefault="00CD1E00" w:rsidP="00CD1E00">
      <w:pPr>
        <w:pStyle w:val="Heading1"/>
      </w:pPr>
      <w:r>
        <w:t>Anvae.py</w:t>
      </w:r>
    </w:p>
    <w:p w14:paraId="40A78A88" w14:textId="067C2B73" w:rsidR="002F5D02" w:rsidRDefault="002F5D02" w:rsidP="002F5D02">
      <w:r>
        <w:t xml:space="preserve">This file contains the bulk of the network code. </w:t>
      </w:r>
      <w:r w:rsidR="009316DA">
        <w:t xml:space="preserve">Network is comprised of </w:t>
      </w:r>
      <w:r w:rsidR="00871C40">
        <w:t xml:space="preserve">different </w:t>
      </w:r>
      <w:proofErr w:type="gramStart"/>
      <w:r w:rsidR="00871C40">
        <w:t>cells,</w:t>
      </w:r>
      <w:proofErr w:type="gramEnd"/>
      <w:r w:rsidR="00871C40">
        <w:t xml:space="preserve"> each cell has their own layers. Separating like this makes it easier to </w:t>
      </w:r>
      <w:r w:rsidR="00D20465">
        <w:t xml:space="preserve">make the </w:t>
      </w:r>
      <w:r w:rsidR="00461985">
        <w:t>residual</w:t>
      </w:r>
      <w:r w:rsidR="00D20465">
        <w:t xml:space="preserve"> normal distributions and forming the latent spaces. Then some of these cells are grouped into encoder, decoder, discriminator, to make </w:t>
      </w:r>
      <w:r w:rsidR="0047155D">
        <w:t>training specific cells possible.</w:t>
      </w:r>
      <w:r w:rsidR="009D3DAE">
        <w:t xml:space="preserve"> There are some parameters you can change in this file that determine how many latent layers there are, how many </w:t>
      </w:r>
      <w:r w:rsidR="00E14CA2">
        <w:t>nodes of cells you have per layer, how many cells per node, etc.</w:t>
      </w:r>
    </w:p>
    <w:p w14:paraId="075B6C8A" w14:textId="46F84F95" w:rsidR="00892020" w:rsidRDefault="00892020" w:rsidP="002F5D02">
      <w:r>
        <w:t xml:space="preserve">The training process: </w:t>
      </w:r>
    </w:p>
    <w:p w14:paraId="3F11E145" w14:textId="4B50FACE" w:rsidR="00892020" w:rsidRDefault="00563BDA" w:rsidP="00892020">
      <w:pPr>
        <w:pStyle w:val="ListParagraph"/>
        <w:numPr>
          <w:ilvl w:val="0"/>
          <w:numId w:val="2"/>
        </w:numPr>
      </w:pPr>
      <w:r>
        <w:t>Pass through the encoder, saving the cells and current s for the combiner cells.</w:t>
      </w:r>
    </w:p>
    <w:p w14:paraId="2D6C22FB" w14:textId="41C1F10C" w:rsidR="008E409D" w:rsidRDefault="00814ECD" w:rsidP="00C9692E">
      <w:pPr>
        <w:pStyle w:val="ListParagraph"/>
        <w:numPr>
          <w:ilvl w:val="0"/>
          <w:numId w:val="2"/>
        </w:numPr>
      </w:pPr>
      <w:r>
        <w:t xml:space="preserve">As you pass through the decoder, combine </w:t>
      </w:r>
      <w:r w:rsidR="008E409D">
        <w:t xml:space="preserve">with previously saved combiner cells to create the latent </w:t>
      </w:r>
      <w:r w:rsidR="00233F1A">
        <w:t>spaces.</w:t>
      </w:r>
      <w:r w:rsidR="00C9692E">
        <w:t xml:space="preserve"> Look at NVAE paper for a figure describing the setup of the network.</w:t>
      </w:r>
    </w:p>
    <w:p w14:paraId="57F735AE" w14:textId="5B7A6F5C" w:rsidR="008E409D" w:rsidRDefault="00233F1A" w:rsidP="008E409D">
      <w:pPr>
        <w:pStyle w:val="ListParagraph"/>
        <w:numPr>
          <w:ilvl w:val="0"/>
          <w:numId w:val="2"/>
        </w:numPr>
      </w:pPr>
      <w:r>
        <w:t xml:space="preserve">Once </w:t>
      </w:r>
      <w:r w:rsidR="004D1BEE">
        <w:t>the encoder, latent spaces, and decoder have been formed,</w:t>
      </w:r>
      <w:r w:rsidR="00B56DFC">
        <w:t xml:space="preserve"> begin updating the network. The method of training is the same as described in the </w:t>
      </w:r>
      <w:r w:rsidR="000C0087">
        <w:t>AAE</w:t>
      </w:r>
      <w:r w:rsidR="00B56DFC">
        <w:t xml:space="preserve"> paper, </w:t>
      </w:r>
      <w:r w:rsidR="00272C53">
        <w:t>a</w:t>
      </w:r>
      <w:r w:rsidR="00B56DFC">
        <w:t xml:space="preserve">utoencoder -&gt; discriminator -&gt; </w:t>
      </w:r>
      <w:r w:rsidR="00272C53">
        <w:t>generator.</w:t>
      </w:r>
    </w:p>
    <w:p w14:paraId="3021D29E" w14:textId="516B2098" w:rsidR="004D1BEE" w:rsidRPr="00E14CA2" w:rsidRDefault="004D1BEE" w:rsidP="004D1BEE">
      <w:pPr>
        <w:ind w:left="720" w:firstLine="720"/>
        <w:rPr>
          <w:b/>
          <w:bCs/>
        </w:rPr>
      </w:pPr>
      <w:r w:rsidRPr="00E14CA2">
        <w:rPr>
          <w:b/>
          <w:bCs/>
        </w:rPr>
        <w:t>Autoencoder Loss</w:t>
      </w:r>
    </w:p>
    <w:p w14:paraId="15CE3AD7" w14:textId="54998B37" w:rsidR="00DE4031" w:rsidRPr="0000393B" w:rsidRDefault="00D45753" w:rsidP="004D1BEE">
      <w:pPr>
        <w:ind w:left="720" w:firstLine="7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i = 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74A70693" w14:textId="22FE9027" w:rsidR="0000393B" w:rsidRPr="0000393B" w:rsidRDefault="0000393B" w:rsidP="00055F87">
      <w:pPr>
        <w:ind w:left="1440" w:firstLine="720"/>
        <w:rPr>
          <w:iCs/>
        </w:rPr>
      </w:pPr>
      <w:r>
        <w:rPr>
          <w:iCs/>
        </w:rPr>
        <w:t>N is</w:t>
      </w:r>
      <w:r w:rsidR="00055F87">
        <w:rPr>
          <w:iCs/>
        </w:rPr>
        <w:t xml:space="preserve"> the batch size, x is the input image,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55F87">
        <w:rPr>
          <w:rFonts w:eastAsiaTheme="minorEastAsia"/>
          <w:iCs/>
        </w:rPr>
        <w:t xml:space="preserve"> </w:t>
      </w:r>
      <w:r w:rsidR="00E059E6">
        <w:rPr>
          <w:rFonts w:eastAsiaTheme="minorEastAsia"/>
          <w:iCs/>
        </w:rPr>
        <w:t>is the reconstruction.</w:t>
      </w:r>
      <w:r w:rsidR="00D62C37">
        <w:rPr>
          <w:rFonts w:eastAsiaTheme="minorEastAsia"/>
          <w:iCs/>
        </w:rPr>
        <w:t xml:space="preserve"> Simple MSE loss, applied to encoder, decoder, and some image processing cells.</w:t>
      </w:r>
    </w:p>
    <w:p w14:paraId="3240CC02" w14:textId="312417BC" w:rsidR="004D1BEE" w:rsidRPr="00E14CA2" w:rsidRDefault="004D1BEE" w:rsidP="004D1BEE">
      <w:pPr>
        <w:ind w:left="720" w:firstLine="720"/>
        <w:rPr>
          <w:b/>
          <w:bCs/>
        </w:rPr>
      </w:pPr>
      <w:r w:rsidRPr="00E14CA2">
        <w:rPr>
          <w:b/>
          <w:bCs/>
        </w:rPr>
        <w:t>Discriminator Loss</w:t>
      </w:r>
    </w:p>
    <w:p w14:paraId="50AF646F" w14:textId="59F3F2DA" w:rsidR="00565E02" w:rsidRPr="00AF2914" w:rsidRDefault="00A64D44" w:rsidP="004D1BEE">
      <w:pPr>
        <w:ind w:left="720" w:firstLine="7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DIS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l = 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log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l, 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- 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log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l, 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d>
            </m:e>
          </m:nary>
        </m:oMath>
      </m:oMathPara>
    </w:p>
    <w:p w14:paraId="6F4EC401" w14:textId="2A934E3E" w:rsidR="001F7B11" w:rsidRPr="001F7B11" w:rsidRDefault="001F7B11" w:rsidP="00AA16BE">
      <w:pPr>
        <w:ind w:left="2160"/>
        <w:rPr>
          <w:iCs/>
        </w:rPr>
      </w:pPr>
      <w:r w:rsidRPr="001F7B11">
        <w:rPr>
          <w:iCs/>
        </w:rPr>
        <w:t>This</w:t>
      </w:r>
      <w:r>
        <w:rPr>
          <w:iCs/>
        </w:rPr>
        <w:t xml:space="preserve"> is adapted from the </w:t>
      </w:r>
      <w:r w:rsidR="00401B26">
        <w:rPr>
          <w:iCs/>
        </w:rPr>
        <w:t>discriminator</w:t>
      </w:r>
      <w:r w:rsidR="00AF2914">
        <w:rPr>
          <w:iCs/>
        </w:rPr>
        <w:t xml:space="preserve"> loss equation in the </w:t>
      </w:r>
      <w:r w:rsidR="000C0087">
        <w:rPr>
          <w:iCs/>
        </w:rPr>
        <w:t xml:space="preserve">AAE </w:t>
      </w:r>
      <w:r w:rsidR="00AF2914">
        <w:rPr>
          <w:iCs/>
        </w:rPr>
        <w:t xml:space="preserve">paper. L is the number of latent </w:t>
      </w:r>
      <w:r w:rsidR="002A6164">
        <w:rPr>
          <w:iCs/>
        </w:rPr>
        <w:t>layers</w:t>
      </w:r>
      <w:r w:rsidR="00AF2914">
        <w:rPr>
          <w:iCs/>
        </w:rPr>
        <w:t xml:space="preserve">, N is the batch size,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11CDE">
        <w:rPr>
          <w:rFonts w:eastAsiaTheme="minorEastAsia"/>
        </w:rPr>
        <w:t xml:space="preserve"> is the discriminator function</w:t>
      </w:r>
      <w:r w:rsidR="00562F0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l, i</m:t>
            </m:r>
            <m:r>
              <w:rPr>
                <w:rFonts w:ascii="Cambria Math" w:hAnsi="Cambria Math"/>
              </w:rPr>
              <m:t>=0,  1,...,N-1</m:t>
            </m:r>
          </m:sub>
        </m:sSub>
      </m:oMath>
      <w:r w:rsidR="008D24A7">
        <w:rPr>
          <w:rFonts w:eastAsiaTheme="minorEastAsia"/>
        </w:rPr>
        <w:t xml:space="preserve"> </w:t>
      </w:r>
      <w:r w:rsidR="00AA16BE">
        <w:rPr>
          <w:rFonts w:eastAsiaTheme="minorEastAsia"/>
        </w:rPr>
        <w:t>are</w:t>
      </w:r>
      <w:r w:rsidR="008D24A7">
        <w:rPr>
          <w:rFonts w:eastAsiaTheme="minorEastAsia"/>
        </w:rPr>
        <w:t xml:space="preserve"> from the prior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l, i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 xml:space="preserve">N, </m:t>
            </m:r>
            <m:r>
              <w:rPr>
                <w:rFonts w:ascii="Cambria Math" w:hAnsi="Cambria Math"/>
              </w:rPr>
              <m:t>...,2N</m:t>
            </m:r>
          </m:sub>
        </m:sSub>
      </m:oMath>
      <w:r w:rsidR="00FE1B55">
        <w:rPr>
          <w:rFonts w:eastAsiaTheme="minorEastAsia"/>
        </w:rPr>
        <w:t xml:space="preserve"> </w:t>
      </w:r>
      <w:r w:rsidR="00AA16BE">
        <w:rPr>
          <w:rFonts w:eastAsiaTheme="minorEastAsia"/>
        </w:rPr>
        <w:t>are from the posterior.</w:t>
      </w:r>
      <w:r w:rsidR="00130052">
        <w:rPr>
          <w:rFonts w:eastAsiaTheme="minorEastAsia"/>
        </w:rPr>
        <w:t xml:space="preserve"> This is training the discriminator to better differentiate between samples from the </w:t>
      </w:r>
      <w:r w:rsidR="00130052">
        <w:rPr>
          <w:rFonts w:eastAsiaTheme="minorEastAsia"/>
        </w:rPr>
        <w:lastRenderedPageBreak/>
        <w:t>prior distribution, in this case I have been using a normal distribution, and samples from the latent spaces.</w:t>
      </w:r>
    </w:p>
    <w:p w14:paraId="735C5A99" w14:textId="13BA1C11" w:rsidR="00461985" w:rsidRPr="00E14CA2" w:rsidRDefault="004D1BEE" w:rsidP="00D567E4">
      <w:pPr>
        <w:ind w:left="720" w:firstLine="720"/>
        <w:rPr>
          <w:b/>
          <w:bCs/>
        </w:rPr>
      </w:pPr>
      <w:r w:rsidRPr="00E14CA2">
        <w:rPr>
          <w:b/>
          <w:bCs/>
        </w:rPr>
        <w:t>Generator Loss</w:t>
      </w:r>
    </w:p>
    <w:p w14:paraId="65D361C2" w14:textId="61E2DB84" w:rsidR="00AA16BE" w:rsidRPr="00935AA9" w:rsidRDefault="00AA16BE" w:rsidP="00D567E4">
      <w:pPr>
        <w:ind w:left="720" w:firstLine="7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DIS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 = 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log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1 -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l, 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d>
            </m:e>
          </m:nary>
        </m:oMath>
      </m:oMathPara>
    </w:p>
    <w:p w14:paraId="349EB38B" w14:textId="17171398" w:rsidR="00935AA9" w:rsidRPr="00935AA9" w:rsidRDefault="00935AA9" w:rsidP="00F07C8E">
      <w:pPr>
        <w:ind w:left="2160"/>
      </w:pPr>
      <w:r>
        <w:t xml:space="preserve">Same variables as discriminator loss, however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l, i</m:t>
            </m:r>
            <m:r>
              <w:rPr>
                <w:rFonts w:ascii="Cambria Math" w:hAnsi="Cambria Math"/>
              </w:rPr>
              <m:t>=0,  1,...,N-1</m:t>
            </m:r>
          </m:sub>
        </m:sSub>
      </m:oMath>
      <w:r w:rsidR="00FA0860">
        <w:rPr>
          <w:rFonts w:eastAsiaTheme="minorEastAsia"/>
        </w:rPr>
        <w:t xml:space="preserve">are from the </w:t>
      </w:r>
      <w:r w:rsidR="00F07C8E">
        <w:rPr>
          <w:rFonts w:eastAsiaTheme="minorEastAsia"/>
        </w:rPr>
        <w:t>posterior.</w:t>
      </w:r>
      <w:r w:rsidR="00880855">
        <w:rPr>
          <w:rFonts w:eastAsiaTheme="minorEastAsia"/>
        </w:rPr>
        <w:t xml:space="preserve"> This is applied to the encoder cells, this is trying to train the encoder to </w:t>
      </w:r>
      <w:r w:rsidR="00130052">
        <w:rPr>
          <w:rFonts w:eastAsiaTheme="minorEastAsia"/>
        </w:rPr>
        <w:t xml:space="preserve">create a latent space distribution more </w:t>
      </w:r>
      <w:proofErr w:type="gramStart"/>
      <w:r w:rsidR="00130052">
        <w:rPr>
          <w:rFonts w:eastAsiaTheme="minorEastAsia"/>
        </w:rPr>
        <w:t>similar to</w:t>
      </w:r>
      <w:proofErr w:type="gramEnd"/>
      <w:r w:rsidR="00130052">
        <w:rPr>
          <w:rFonts w:eastAsiaTheme="minorEastAsia"/>
        </w:rPr>
        <w:t xml:space="preserve"> the prior distribution, in this case I have been using a Normal distribution.</w:t>
      </w:r>
    </w:p>
    <w:p w14:paraId="5E57499E" w14:textId="3AC86385" w:rsidR="00C83415" w:rsidRDefault="00C83415" w:rsidP="00D567E4">
      <w:pPr>
        <w:ind w:left="720" w:firstLine="720"/>
      </w:pPr>
      <w:r w:rsidRPr="00E14CA2">
        <w:rPr>
          <w:b/>
          <w:bCs/>
        </w:rPr>
        <w:t>Spectral</w:t>
      </w:r>
      <w:r>
        <w:t xml:space="preserve"> </w:t>
      </w:r>
      <w:r w:rsidRPr="00E14CA2">
        <w:rPr>
          <w:b/>
          <w:bCs/>
        </w:rPr>
        <w:t>Loss</w:t>
      </w:r>
    </w:p>
    <w:p w14:paraId="60A4DCC7" w14:textId="56B46168" w:rsidR="004919B1" w:rsidRDefault="00C83415" w:rsidP="00F07C8E">
      <w:pPr>
        <w:ind w:left="2160"/>
      </w:pPr>
      <w:r>
        <w:t xml:space="preserve">Taken from: </w:t>
      </w:r>
      <w:r>
        <w:t xml:space="preserve">Yuichi Yoshida and </w:t>
      </w:r>
      <w:proofErr w:type="spellStart"/>
      <w:r>
        <w:t>Takeru</w:t>
      </w:r>
      <w:proofErr w:type="spellEnd"/>
      <w:r>
        <w:t xml:space="preserve"> </w:t>
      </w:r>
      <w:proofErr w:type="spellStart"/>
      <w:r>
        <w:t>Miyato</w:t>
      </w:r>
      <w:proofErr w:type="spellEnd"/>
      <w:r>
        <w:t>. Spectral norm regularization for</w:t>
      </w:r>
      <w:r>
        <w:t xml:space="preserve"> </w:t>
      </w:r>
      <w:r>
        <w:t>improving the generalizability of deep</w:t>
      </w:r>
      <w:r>
        <w:t xml:space="preserve"> </w:t>
      </w:r>
      <w:r>
        <w:t xml:space="preserve">learning. </w:t>
      </w:r>
      <w:proofErr w:type="spellStart"/>
      <w:r>
        <w:t>arXiv</w:t>
      </w:r>
      <w:proofErr w:type="spellEnd"/>
      <w:r>
        <w:t xml:space="preserve"> preprint arXiv:1705.10941, 2017.</w:t>
      </w:r>
      <w:r w:rsidR="00D62C37">
        <w:t xml:space="preserve"> This was used in the NVAE paper to help stabilize training</w:t>
      </w:r>
      <w:r w:rsidR="001D75AA">
        <w:t xml:space="preserve">, converted from </w:t>
      </w:r>
      <w:proofErr w:type="spellStart"/>
      <w:r w:rsidR="001D75AA">
        <w:t>p</w:t>
      </w:r>
      <w:r w:rsidR="00DC4A5C">
        <w:t>yt</w:t>
      </w:r>
      <w:r w:rsidR="001D75AA">
        <w:t>orch</w:t>
      </w:r>
      <w:proofErr w:type="spellEnd"/>
      <w:r w:rsidR="001D75AA">
        <w:t xml:space="preserve"> to TensorFlow from the NVAE official implementation.</w:t>
      </w:r>
    </w:p>
    <w:p w14:paraId="2666AA4F" w14:textId="0E07D550" w:rsidR="008C2582" w:rsidRDefault="008C2582" w:rsidP="008C2582">
      <w:pPr>
        <w:pStyle w:val="ListParagraph"/>
        <w:numPr>
          <w:ilvl w:val="0"/>
          <w:numId w:val="2"/>
        </w:numPr>
      </w:pPr>
      <w:r>
        <w:t>Gradients are calculated using gradient tape</w:t>
      </w:r>
      <w:r w:rsidR="00912C23">
        <w:t xml:space="preserve">, then applied using the optimizers for autoencoder, discriminator, and generator. Paper uses </w:t>
      </w:r>
      <w:proofErr w:type="spellStart"/>
      <w:r w:rsidR="00912C23">
        <w:t>Adamax</w:t>
      </w:r>
      <w:proofErr w:type="spellEnd"/>
      <w:r w:rsidR="00912C23">
        <w:t xml:space="preserve"> </w:t>
      </w:r>
      <w:proofErr w:type="gramStart"/>
      <w:r w:rsidR="00912C23">
        <w:t>optimizer, but</w:t>
      </w:r>
      <w:proofErr w:type="gramEnd"/>
      <w:r w:rsidR="00912C23">
        <w:t xml:space="preserve"> have not experimented with others.</w:t>
      </w:r>
    </w:p>
    <w:p w14:paraId="3BABAE64" w14:textId="4787A508" w:rsidR="00C60BA6" w:rsidRDefault="00C60BA6" w:rsidP="00C60BA6">
      <w:pPr>
        <w:pStyle w:val="Heading1"/>
      </w:pPr>
      <w:r>
        <w:t>Cells.py</w:t>
      </w:r>
    </w:p>
    <w:p w14:paraId="47E9DB72" w14:textId="574DC221" w:rsidR="007625B1" w:rsidRDefault="00F07C8E" w:rsidP="00F07C8E">
      <w:r>
        <w:t xml:space="preserve">This file contains the code for </w:t>
      </w:r>
      <w:r w:rsidR="000C0087">
        <w:t>all</w:t>
      </w:r>
      <w:r>
        <w:t xml:space="preserve"> the cells, as well as the encoder, decoder, and discriminator classes. </w:t>
      </w:r>
      <w:r w:rsidR="000C0087">
        <w:t xml:space="preserve">The layers inside each cell are taken from the NVAE </w:t>
      </w:r>
      <w:r w:rsidR="00B7046F">
        <w:t xml:space="preserve">paper and official implementation. </w:t>
      </w:r>
    </w:p>
    <w:p w14:paraId="47255E7E" w14:textId="7F3A94F4" w:rsidR="00DC448A" w:rsidRDefault="00DC448A" w:rsidP="00DC448A">
      <w:pPr>
        <w:pStyle w:val="Heading1"/>
      </w:pPr>
      <w:r>
        <w:t>Utils.py</w:t>
      </w:r>
    </w:p>
    <w:p w14:paraId="0F5FC72E" w14:textId="6635262E" w:rsidR="00757572" w:rsidRDefault="00B7046F" w:rsidP="00757572">
      <w:r>
        <w:t>Helper functions</w:t>
      </w:r>
    </w:p>
    <w:p w14:paraId="23418D9D" w14:textId="3B24AD67" w:rsidR="00757572" w:rsidRDefault="00757572" w:rsidP="00757572">
      <w:pPr>
        <w:pStyle w:val="Heading1"/>
      </w:pPr>
      <w:r>
        <w:t>Dataset.py</w:t>
      </w:r>
    </w:p>
    <w:p w14:paraId="435FC35E" w14:textId="38D9ED76" w:rsidR="00F21ABC" w:rsidRDefault="00B7046F" w:rsidP="00B7046F">
      <w:r>
        <w:t xml:space="preserve">Handles loading and managing the input files. </w:t>
      </w:r>
      <w:r w:rsidR="00CC6F21">
        <w:t xml:space="preserve">Depending on what data you are using you may need to change some parameters in this file. Right </w:t>
      </w:r>
      <w:proofErr w:type="gramStart"/>
      <w:r w:rsidR="00CC6F21">
        <w:t>now</w:t>
      </w:r>
      <w:proofErr w:type="gramEnd"/>
      <w:r w:rsidR="00CC6F21">
        <w:t xml:space="preserve"> it expects inputs to be on size </w:t>
      </w:r>
      <w:r w:rsidR="00511543">
        <w:t xml:space="preserve">28x28 and then scales it to 32x32 which is not necessary but is a nicer dimension when upscaling and downscaling the latent spaces. </w:t>
      </w:r>
      <w:r w:rsidR="00E7097D">
        <w:t xml:space="preserve">This file handles shuffling the </w:t>
      </w:r>
      <w:r w:rsidR="00F21ABC">
        <w:t>data, turning the data into batches, and handling epochs</w:t>
      </w:r>
      <w:r w:rsidR="00790122">
        <w:t>.</w:t>
      </w:r>
    </w:p>
    <w:p w14:paraId="3CE76A0F" w14:textId="77777777" w:rsidR="00C9692E" w:rsidRDefault="00C9692E">
      <w:r>
        <w:br w:type="page"/>
      </w:r>
    </w:p>
    <w:p w14:paraId="7D98987D" w14:textId="48493E4A" w:rsidR="00F21ABC" w:rsidRDefault="000870B5" w:rsidP="00B7046F">
      <w:r>
        <w:lastRenderedPageBreak/>
        <w:t>AAE paper:</w:t>
      </w:r>
      <w:r w:rsidRPr="000870B5">
        <w:t xml:space="preserve"> </w:t>
      </w:r>
      <w:hyperlink r:id="rId5" w:history="1">
        <w:r w:rsidRPr="00C212D7">
          <w:rPr>
            <w:rStyle w:val="Hyperlink"/>
          </w:rPr>
          <w:t>https://arxiv.org/abs/1511.05644</w:t>
        </w:r>
      </w:hyperlink>
    </w:p>
    <w:p w14:paraId="50B7157A" w14:textId="361AB77B" w:rsidR="00BB0D4D" w:rsidRDefault="00517785" w:rsidP="00B7046F">
      <w:r>
        <w:t xml:space="preserve">AAE code reference: </w:t>
      </w:r>
      <w:hyperlink r:id="rId6" w:history="1">
        <w:r w:rsidR="00BB0D4D" w:rsidRPr="00C212D7">
          <w:rPr>
            <w:rStyle w:val="Hyperlink"/>
          </w:rPr>
          <w:t>https://github.com/conan7882/adversarial-autoencoders</w:t>
        </w:r>
      </w:hyperlink>
    </w:p>
    <w:p w14:paraId="3C73CCAF" w14:textId="73401FD3" w:rsidR="000870B5" w:rsidRDefault="000870B5" w:rsidP="00B7046F">
      <w:r>
        <w:t xml:space="preserve">NVAE paper: </w:t>
      </w:r>
      <w:hyperlink r:id="rId7" w:history="1">
        <w:r w:rsidR="000B40CF" w:rsidRPr="00C212D7">
          <w:rPr>
            <w:rStyle w:val="Hyperlink"/>
          </w:rPr>
          <w:t>https://arxiv.org/abs/2007.03898</w:t>
        </w:r>
      </w:hyperlink>
    </w:p>
    <w:p w14:paraId="400958D5" w14:textId="620884D2" w:rsidR="000B40CF" w:rsidRDefault="000B40CF" w:rsidP="00B7046F">
      <w:r>
        <w:t xml:space="preserve">NVAE implementation: </w:t>
      </w:r>
      <w:hyperlink r:id="rId8" w:history="1">
        <w:r w:rsidR="00517785" w:rsidRPr="00C212D7">
          <w:rPr>
            <w:rStyle w:val="Hyperlink"/>
          </w:rPr>
          <w:t>https://github.com/NVlabs/NVAE</w:t>
        </w:r>
      </w:hyperlink>
    </w:p>
    <w:p w14:paraId="427F800B" w14:textId="77777777" w:rsidR="00517785" w:rsidRPr="00757572" w:rsidRDefault="00517785" w:rsidP="00B7046F"/>
    <w:sectPr w:rsidR="00517785" w:rsidRPr="0075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973B0"/>
    <w:multiLevelType w:val="hybridMultilevel"/>
    <w:tmpl w:val="AC68AD42"/>
    <w:lvl w:ilvl="0" w:tplc="B2C6C81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74885"/>
    <w:multiLevelType w:val="hybridMultilevel"/>
    <w:tmpl w:val="87065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82"/>
    <w:rsid w:val="0000393B"/>
    <w:rsid w:val="00055F87"/>
    <w:rsid w:val="00076442"/>
    <w:rsid w:val="000870B5"/>
    <w:rsid w:val="000B40CF"/>
    <w:rsid w:val="000C0087"/>
    <w:rsid w:val="000F22C9"/>
    <w:rsid w:val="000F3014"/>
    <w:rsid w:val="00130052"/>
    <w:rsid w:val="001773CE"/>
    <w:rsid w:val="001D75AA"/>
    <w:rsid w:val="001F5152"/>
    <w:rsid w:val="001F7B11"/>
    <w:rsid w:val="00215824"/>
    <w:rsid w:val="00233F1A"/>
    <w:rsid w:val="00237567"/>
    <w:rsid w:val="00272C53"/>
    <w:rsid w:val="002A6164"/>
    <w:rsid w:val="002B5128"/>
    <w:rsid w:val="002C4FB9"/>
    <w:rsid w:val="002F5D02"/>
    <w:rsid w:val="00300B01"/>
    <w:rsid w:val="00321BF9"/>
    <w:rsid w:val="00355582"/>
    <w:rsid w:val="00381B6D"/>
    <w:rsid w:val="003D4432"/>
    <w:rsid w:val="00401B26"/>
    <w:rsid w:val="00461985"/>
    <w:rsid w:val="004710B8"/>
    <w:rsid w:val="0047155D"/>
    <w:rsid w:val="004919B1"/>
    <w:rsid w:val="004A10AC"/>
    <w:rsid w:val="004D1BEE"/>
    <w:rsid w:val="004E3A48"/>
    <w:rsid w:val="00511543"/>
    <w:rsid w:val="00517785"/>
    <w:rsid w:val="00562F0C"/>
    <w:rsid w:val="00563BDA"/>
    <w:rsid w:val="00565E02"/>
    <w:rsid w:val="005944D0"/>
    <w:rsid w:val="0061448E"/>
    <w:rsid w:val="00682133"/>
    <w:rsid w:val="00757572"/>
    <w:rsid w:val="007625B1"/>
    <w:rsid w:val="007676F5"/>
    <w:rsid w:val="00783176"/>
    <w:rsid w:val="00790122"/>
    <w:rsid w:val="007A1BD8"/>
    <w:rsid w:val="007D007D"/>
    <w:rsid w:val="00814ECD"/>
    <w:rsid w:val="0082773B"/>
    <w:rsid w:val="00871C40"/>
    <w:rsid w:val="00880855"/>
    <w:rsid w:val="00892020"/>
    <w:rsid w:val="008A4641"/>
    <w:rsid w:val="008B5D75"/>
    <w:rsid w:val="008C2582"/>
    <w:rsid w:val="008D24A7"/>
    <w:rsid w:val="008E409D"/>
    <w:rsid w:val="008E6AB5"/>
    <w:rsid w:val="00912C23"/>
    <w:rsid w:val="0092110C"/>
    <w:rsid w:val="009316DA"/>
    <w:rsid w:val="00935AA9"/>
    <w:rsid w:val="009943C4"/>
    <w:rsid w:val="009B44F0"/>
    <w:rsid w:val="009D3DAE"/>
    <w:rsid w:val="009D48C1"/>
    <w:rsid w:val="00A109E8"/>
    <w:rsid w:val="00A64D44"/>
    <w:rsid w:val="00AA16BE"/>
    <w:rsid w:val="00AE1CB1"/>
    <w:rsid w:val="00AF2914"/>
    <w:rsid w:val="00B56DFC"/>
    <w:rsid w:val="00B7046F"/>
    <w:rsid w:val="00BB0D4D"/>
    <w:rsid w:val="00C11CDE"/>
    <w:rsid w:val="00C27982"/>
    <w:rsid w:val="00C60BA6"/>
    <w:rsid w:val="00C83415"/>
    <w:rsid w:val="00C9692E"/>
    <w:rsid w:val="00CC6F21"/>
    <w:rsid w:val="00CD1E00"/>
    <w:rsid w:val="00D16586"/>
    <w:rsid w:val="00D20465"/>
    <w:rsid w:val="00D42A6D"/>
    <w:rsid w:val="00D45753"/>
    <w:rsid w:val="00D567E4"/>
    <w:rsid w:val="00D62C37"/>
    <w:rsid w:val="00D80E99"/>
    <w:rsid w:val="00DC448A"/>
    <w:rsid w:val="00DC4A5C"/>
    <w:rsid w:val="00DE4031"/>
    <w:rsid w:val="00E04F54"/>
    <w:rsid w:val="00E04FB8"/>
    <w:rsid w:val="00E059E6"/>
    <w:rsid w:val="00E14CA2"/>
    <w:rsid w:val="00E173FF"/>
    <w:rsid w:val="00E234A3"/>
    <w:rsid w:val="00E7097D"/>
    <w:rsid w:val="00E95223"/>
    <w:rsid w:val="00EE04BD"/>
    <w:rsid w:val="00EF6B12"/>
    <w:rsid w:val="00F07C8E"/>
    <w:rsid w:val="00F21ABC"/>
    <w:rsid w:val="00F64EB9"/>
    <w:rsid w:val="00FA0860"/>
    <w:rsid w:val="00FC2744"/>
    <w:rsid w:val="00F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6631"/>
  <w15:chartTrackingRefBased/>
  <w15:docId w15:val="{AA760C60-ACEA-4234-996B-C84F4789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152"/>
    <w:p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152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D1E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575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87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Vlabs/NVA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2007.038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nan7882/adversarial-autoencoders" TargetMode="External"/><Relationship Id="rId5" Type="http://schemas.openxmlformats.org/officeDocument/2006/relationships/hyperlink" Target="https://arxiv.org/abs/1511.0564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Donca, Octavian</dc:creator>
  <cp:keywords/>
  <dc:description/>
  <cp:lastModifiedBy>Donca, Octavian</cp:lastModifiedBy>
  <cp:revision>103</cp:revision>
  <dcterms:created xsi:type="dcterms:W3CDTF">2021-05-04T13:49:00Z</dcterms:created>
  <dcterms:modified xsi:type="dcterms:W3CDTF">2021-05-06T16:40:00Z</dcterms:modified>
</cp:coreProperties>
</file>