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UNIVERSIDAD CENTRAL</w:t>
      </w:r>
    </w:p>
    <w:p>
      <w:pPr>
        <w:spacing w:after="11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Asignatura Data Analytics (43390860), periodo 2026-2</w:t>
      </w:r>
    </w:p>
    <w:p>
      <w:pPr>
        <w:spacing w:after="25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Brief del Expediente C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Contratación atípica</w:t>
      </w:r>
    </w:p>
    <w:p>
      <w:pPr>
        <w:spacing w:after="11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Este brief se aplica junto con la Guía general del laboratorio SECOP (versión 2.0), que contiene las definiciones, los entregables y los criterios de evaluación.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Rol del equipo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equipo actúa como la unidad de analítica de Veeduría Abierta, una organización ficticia de control ciudadano. La organización dispone de capacidad limitada de revisión y necesita priorizar: identificar, dentro del recorte, las entidades cuyo comportamiento contractual amerita una revisión más detallada.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Afirmación objeto de verificación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investigación se organiza alrededor de la siguiente afirmación de trabajo, formulada por el docente para efectos del ejercicio: algunas entidades del recorte presentan patrones contractuales que justifican una revisión prioritaria.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Criterio previo del equipo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Antes de observar los resultados, el equipo debe registrar en el notebook qué patrones observables considerará indicios de atipicidad y con qué referencia comparará cada entidad. Como mínimo deberá considerar la proporción de contratación directa sobre el total y la concentración temporal de las firmas de contratos, comparadas frente a entidades similares del mismo recorte. El criterio debe quedar registrado antes de formular el primer hallazgo.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Recorte de datos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Los parámetros del recorte del equipo (vigencia y territorio o sector) están escritos en la sección 1 del notebook y no deben modificarse.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Trabajo específico de la semana 1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Además del trabajo común descrito en la Guía general, el equipo debe caracterizar el comportamiento contractual por entidad: la composición por modalidad de contratación, la distribución de las fechas de firma a lo largo del año y la distribución de cuantías. La comparación entre entidades debe hacerse frente a pares del mismo recorte y no frente a un ideal abstracto; la elección de esos pares es una decisión que debe quedar documentada.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Nota metodológica del expediente</w:t>
      </w:r>
    </w:p>
    <w:p>
      <w:pPr>
        <w:spacing w:after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Atipicidad no es sinónimo de irregularidad. Un patrón que se aparta del resto puede tener explicaciones legítimas, como la naturaleza misional de la entidad o un régimen de contratación especial. El lenguaje del tablero de evidencia debe ser en todo momento de anomalía estadística y de priorización de revisión, nunca de señalamiento de conductas: los datos del recorte no permiten imputar irregularidades a ninguna entidad ni persona, y hacerlo excede tanto la evidencia disponible como el alcance de la actividad.</w:t>
      </w:r>
    </w:p>
    <w:sectPr>
      <w:footerReference w:type="default" r:id="rId7"/>
      <w:pgSz w:w="12240" w:h="15840" w:orient="portrait"/>
      <w:pgMar w:top="85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940"/>
      </w:tabs>
      <w:spacing w:before="70"/>
    </w:pPr>
    <w:r>
      <w:rPr>
        <w:rFonts w:ascii="Arial" w:cs="Arial" w:eastAsia="Arial" w:hAnsi="Arial"/>
        <w:color w:val="595959"/>
        <w:sz w:val="15"/>
        <w:szCs w:val="15"/>
      </w:rPr>
      <w:t xml:space="preserve">Brief del Expediente C. Data Analytics, 2026-2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595959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2026-09-14T02:16:48.165Z</dcterms:created>
  <dcterms:modified xsi:type="dcterms:W3CDTF">2026-09-14T02:16:48.165Z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