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81B83" w14:textId="77777777" w:rsidR="00AB0BE8" w:rsidRDefault="00000000">
      <w:pPr>
        <w:spacing w:after="15"/>
        <w:jc w:val="center"/>
      </w:pPr>
      <w:r>
        <w:rPr>
          <w:b/>
          <w:bCs/>
          <w:color w:val="1A1A1A"/>
          <w:sz w:val="19"/>
          <w:szCs w:val="19"/>
        </w:rPr>
        <w:t>UNIVERSIDAD CENTRAL</w:t>
      </w:r>
    </w:p>
    <w:p w14:paraId="24A460D6" w14:textId="77777777" w:rsidR="00AB0BE8" w:rsidRDefault="00000000">
      <w:pPr>
        <w:spacing w:after="110"/>
        <w:jc w:val="center"/>
      </w:pPr>
      <w:r>
        <w:rPr>
          <w:color w:val="595959"/>
          <w:sz w:val="17"/>
          <w:szCs w:val="17"/>
        </w:rPr>
        <w:t xml:space="preserve">Asignatura Data </w:t>
      </w:r>
      <w:proofErr w:type="spellStart"/>
      <w:r>
        <w:rPr>
          <w:color w:val="595959"/>
          <w:sz w:val="17"/>
          <w:szCs w:val="17"/>
        </w:rPr>
        <w:t>Analytics</w:t>
      </w:r>
      <w:proofErr w:type="spellEnd"/>
      <w:r>
        <w:rPr>
          <w:color w:val="595959"/>
          <w:sz w:val="17"/>
          <w:szCs w:val="17"/>
        </w:rPr>
        <w:t xml:space="preserve"> (43390860), periodo 2026-2</w:t>
      </w:r>
    </w:p>
    <w:p w14:paraId="5123A8F7" w14:textId="77777777" w:rsidR="00AB0BE8" w:rsidRDefault="00000000">
      <w:pPr>
        <w:spacing w:after="25"/>
        <w:jc w:val="center"/>
      </w:pPr>
      <w:r>
        <w:rPr>
          <w:color w:val="595959"/>
          <w:sz w:val="19"/>
          <w:szCs w:val="19"/>
        </w:rPr>
        <w:t xml:space="preserve">Laboratorio SECOP Data </w:t>
      </w:r>
      <w:proofErr w:type="spellStart"/>
      <w:r>
        <w:rPr>
          <w:color w:val="595959"/>
          <w:sz w:val="19"/>
          <w:szCs w:val="19"/>
        </w:rPr>
        <w:t>Investigation</w:t>
      </w:r>
      <w:proofErr w:type="spellEnd"/>
    </w:p>
    <w:p w14:paraId="6015E08C" w14:textId="77777777" w:rsidR="00AB0BE8" w:rsidRDefault="00000000">
      <w:pPr>
        <w:spacing w:after="110"/>
        <w:jc w:val="center"/>
      </w:pPr>
      <w:r>
        <w:rPr>
          <w:b/>
          <w:bCs/>
          <w:color w:val="1F4E79"/>
          <w:sz w:val="25"/>
          <w:szCs w:val="25"/>
        </w:rPr>
        <w:t>Tablero de evidencia. Plantilla de diligenciamiento</w:t>
      </w:r>
    </w:p>
    <w:p w14:paraId="42544C60" w14:textId="77777777" w:rsidR="00AB0BE8" w:rsidRDefault="00000000">
      <w:pPr>
        <w:spacing w:after="50"/>
        <w:jc w:val="both"/>
      </w:pPr>
      <w:r>
        <w:rPr>
          <w:color w:val="1A1A1A"/>
        </w:rPr>
        <w:t>Diligencie una tarjeta por cada hallazgo. El texto en cursiva de cada campo describe lo que debe registrarse y puede borrarse al diligenciar. Los identificadores de evidencia E1, E2 y E3 corresponden a los bloques marcados con ese nombre en la sección de investigación del notebook.</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3100"/>
        <w:gridCol w:w="1350"/>
        <w:gridCol w:w="1150"/>
        <w:gridCol w:w="1250"/>
        <w:gridCol w:w="1840"/>
      </w:tblGrid>
      <w:tr w:rsidR="00AB0BE8" w14:paraId="72F530CA" w14:textId="77777777">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5" w:type="dxa"/>
              <w:left w:w="110" w:type="dxa"/>
              <w:bottom w:w="55" w:type="dxa"/>
              <w:right w:w="110" w:type="dxa"/>
            </w:tcMar>
            <w:vAlign w:val="center"/>
          </w:tcPr>
          <w:p w14:paraId="3702DFD5" w14:textId="77777777" w:rsidR="00AB0BE8" w:rsidRDefault="00000000">
            <w:r>
              <w:rPr>
                <w:b/>
                <w:bCs/>
                <w:color w:val="1A1A1A"/>
                <w:sz w:val="17"/>
                <w:szCs w:val="17"/>
              </w:rPr>
              <w:t>Equipo</w:t>
            </w:r>
          </w:p>
        </w:tc>
        <w:tc>
          <w:tcPr>
            <w:tcW w:w="3100" w:type="dxa"/>
            <w:tcBorders>
              <w:top w:val="single" w:sz="4" w:space="0" w:color="BFBFBF"/>
              <w:left w:val="single" w:sz="4" w:space="0" w:color="BFBFBF"/>
              <w:bottom w:val="single" w:sz="4" w:space="0" w:color="BFBFBF"/>
              <w:right w:val="single" w:sz="4" w:space="0" w:color="BFBFBF"/>
            </w:tcBorders>
            <w:tcMar>
              <w:top w:w="55" w:type="dxa"/>
              <w:left w:w="110" w:type="dxa"/>
              <w:bottom w:w="55" w:type="dxa"/>
              <w:right w:w="110" w:type="dxa"/>
            </w:tcMar>
            <w:vAlign w:val="center"/>
          </w:tcPr>
          <w:p w14:paraId="0451C9DF" w14:textId="77777777" w:rsidR="00AB0BE8" w:rsidRDefault="00AB0BE8">
            <w:r>
              <w:rPr>
                <w:b/>
                <w:i w:val="0"/>
              </w:rPr>
              <w:t>Equipo 5</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5" w:type="dxa"/>
              <w:left w:w="110" w:type="dxa"/>
              <w:bottom w:w="55" w:type="dxa"/>
              <w:right w:w="110" w:type="dxa"/>
            </w:tcMar>
            <w:vAlign w:val="center"/>
          </w:tcPr>
          <w:p w14:paraId="50BA1B2B" w14:textId="77777777" w:rsidR="00AB0BE8" w:rsidRDefault="00000000">
            <w:r>
              <w:rPr>
                <w:b/>
                <w:bCs/>
                <w:color w:val="1A1A1A"/>
                <w:sz w:val="17"/>
                <w:szCs w:val="17"/>
              </w:rPr>
              <w:t>Expediente</w:t>
            </w:r>
          </w:p>
        </w:tc>
        <w:tc>
          <w:tcPr>
            <w:tcW w:w="1150" w:type="dxa"/>
            <w:tcBorders>
              <w:top w:val="single" w:sz="4" w:space="0" w:color="BFBFBF"/>
              <w:left w:val="single" w:sz="4" w:space="0" w:color="BFBFBF"/>
              <w:bottom w:val="single" w:sz="4" w:space="0" w:color="BFBFBF"/>
              <w:right w:val="single" w:sz="4" w:space="0" w:color="BFBFBF"/>
            </w:tcBorders>
            <w:tcMar>
              <w:top w:w="55" w:type="dxa"/>
              <w:left w:w="110" w:type="dxa"/>
              <w:bottom w:w="55" w:type="dxa"/>
              <w:right w:w="110" w:type="dxa"/>
            </w:tcMar>
            <w:vAlign w:val="center"/>
          </w:tcPr>
          <w:p w14:paraId="0EB13271" w14:textId="77777777" w:rsidR="00AB0BE8" w:rsidRDefault="00AB0BE8">
            <w:r>
              <w:rPr>
                <w:b/>
                <w:i w:val="0"/>
              </w:rPr>
              <w:t>C — Contratación atípica</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5" w:type="dxa"/>
              <w:left w:w="110" w:type="dxa"/>
              <w:bottom w:w="55" w:type="dxa"/>
              <w:right w:w="110" w:type="dxa"/>
            </w:tcMar>
            <w:vAlign w:val="center"/>
          </w:tcPr>
          <w:p w14:paraId="3EE8C928" w14:textId="77777777" w:rsidR="00AB0BE8" w:rsidRDefault="00000000">
            <w:r>
              <w:rPr>
                <w:b/>
                <w:bCs/>
                <w:color w:val="1A1A1A"/>
                <w:sz w:val="17"/>
                <w:szCs w:val="17"/>
              </w:rPr>
              <w:t>Recorte</w:t>
            </w:r>
          </w:p>
        </w:tc>
        <w:tc>
          <w:tcPr>
            <w:tcW w:w="1840" w:type="dxa"/>
            <w:tcBorders>
              <w:top w:val="single" w:sz="4" w:space="0" w:color="BFBFBF"/>
              <w:left w:val="single" w:sz="4" w:space="0" w:color="BFBFBF"/>
              <w:bottom w:val="single" w:sz="4" w:space="0" w:color="BFBFBF"/>
              <w:right w:val="single" w:sz="4" w:space="0" w:color="BFBFBF"/>
            </w:tcBorders>
            <w:tcMar>
              <w:top w:w="55" w:type="dxa"/>
              <w:left w:w="110" w:type="dxa"/>
              <w:bottom w:w="55" w:type="dxa"/>
              <w:right w:w="110" w:type="dxa"/>
            </w:tcMar>
            <w:vAlign w:val="center"/>
          </w:tcPr>
          <w:p w14:paraId="0379CE8A" w14:textId="77777777" w:rsidR="00AB0BE8" w:rsidRDefault="00AB0BE8">
            <w:r>
              <w:rPr>
                <w:b/>
                <w:i w:val="0"/>
              </w:rPr>
              <w:t>Cundinamarca, 2024–2025 (101.475 contratos)</w:t>
            </w:r>
          </w:p>
        </w:tc>
      </w:tr>
    </w:tbl>
    <w:p w14:paraId="435D991D" w14:textId="77777777" w:rsidR="00AB0BE8" w:rsidRDefault="00AB0BE8">
      <w:pPr>
        <w:spacing w:after="110"/>
      </w:pP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7560"/>
      </w:tblGrid>
      <w:tr w:rsidR="00AB0BE8" w14:paraId="21DF8F11" w14:textId="77777777">
        <w:tblPrEx>
          <w:tblCellMar>
            <w:top w:w="0" w:type="dxa"/>
            <w:bottom w:w="0" w:type="dxa"/>
          </w:tblCellMar>
        </w:tblPrEx>
        <w:tc>
          <w:tcPr>
            <w:tcW w:w="9940" w:type="dxa"/>
            <w:gridSpan w:val="2"/>
            <w:tcBorders>
              <w:top w:val="single" w:sz="4" w:space="0" w:color="BFBFBF"/>
              <w:left w:val="single" w:sz="4" w:space="0" w:color="BFBFBF"/>
              <w:bottom w:val="single" w:sz="4" w:space="0" w:color="BFBFBF"/>
              <w:right w:val="single" w:sz="4" w:space="0" w:color="BFBFBF"/>
            </w:tcBorders>
            <w:shd w:val="clear" w:color="auto" w:fill="1F4E79"/>
            <w:tcMar>
              <w:top w:w="65" w:type="dxa"/>
              <w:left w:w="140" w:type="dxa"/>
              <w:bottom w:w="65" w:type="dxa"/>
              <w:right w:w="140" w:type="dxa"/>
            </w:tcMar>
          </w:tcPr>
          <w:p w14:paraId="78C7BE61" w14:textId="77777777" w:rsidR="00AB0BE8" w:rsidRDefault="00000000">
            <w:r>
              <w:rPr>
                <w:b/>
                <w:bCs/>
                <w:color w:val="FFFFFF"/>
                <w:sz w:val="20"/>
                <w:szCs w:val="20"/>
              </w:rPr>
              <w:t>Tarjeta de evidencia 1 de 3</w:t>
            </w:r>
          </w:p>
        </w:tc>
      </w:tr>
      <w:tr w:rsidR="00AB0BE8" w14:paraId="5A4D9F52" w14:textId="77777777">
        <w:tblPrEx>
          <w:tblCellMar>
            <w:top w:w="0" w:type="dxa"/>
            <w:bottom w:w="0" w:type="dxa"/>
          </w:tblCellMar>
        </w:tblPrEx>
        <w:tc>
          <w:tcPr>
            <w:tcW w:w="2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00" w:type="dxa"/>
            </w:tcMar>
            <w:vAlign w:val="center"/>
          </w:tcPr>
          <w:p w14:paraId="18805486" w14:textId="77777777" w:rsidR="00AB0BE8" w:rsidRDefault="00000000">
            <w:r>
              <w:rPr>
                <w:b/>
                <w:bCs/>
                <w:color w:val="1A1A1A"/>
                <w:sz w:val="18"/>
                <w:szCs w:val="18"/>
              </w:rPr>
              <w:t>Hallazgo</w:t>
            </w:r>
          </w:p>
        </w:tc>
        <w:tc>
          <w:tcPr>
            <w:tcW w:w="7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E3747E3" w14:textId="77777777" w:rsidR="00AB0BE8" w:rsidRDefault="00000000">
            <w:pPr>
              <w:spacing w:after="40"/>
            </w:pPr>
            <w:r>
              <w:rPr>
                <w:b w:val="0"/>
                <w:i w:val="0"/>
              </w:rPr>
              <w:t>La proporción de contratación directa no distingue entidades atípicas mientras no se compare con pares: en el recorte, las ESE y hospitales tramitan casi todo por régimen especial y las alcaldías casi todo por contratación directa, de modo que un ranking único del departamento ordena a las entidades por el régimen legal que les aplica y no por su comportamiento contractual. Construido el grupo de alcaldías y municipios comparables, ninguna se despega de sus pares.</w:t>
            </w:r>
          </w:p>
        </w:tc>
      </w:tr>
      <w:tr w:rsidR="00AB0BE8" w14:paraId="43ECADF8" w14:textId="77777777">
        <w:tblPrEx>
          <w:tblCellMar>
            <w:top w:w="0" w:type="dxa"/>
            <w:bottom w:w="0" w:type="dxa"/>
          </w:tblCellMar>
        </w:tblPrEx>
        <w:tc>
          <w:tcPr>
            <w:tcW w:w="2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00" w:type="dxa"/>
            </w:tcMar>
            <w:vAlign w:val="center"/>
          </w:tcPr>
          <w:p w14:paraId="6EE5F05E" w14:textId="77777777" w:rsidR="00AB0BE8" w:rsidRDefault="00000000">
            <w:r>
              <w:rPr>
                <w:b/>
                <w:bCs/>
                <w:color w:val="1A1A1A"/>
                <w:sz w:val="18"/>
                <w:szCs w:val="18"/>
              </w:rPr>
              <w:t>Cifra</w:t>
            </w:r>
          </w:p>
        </w:tc>
        <w:tc>
          <w:tcPr>
            <w:tcW w:w="7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6432F5A" w14:textId="77777777" w:rsidR="00AB0BE8" w:rsidRDefault="00000000">
            <w:pPr>
              <w:spacing w:after="40"/>
            </w:pPr>
            <w:r>
              <w:rPr>
                <w:b w:val="0"/>
                <w:i w:val="0"/>
              </w:rPr>
              <w:t>Las ESE y hospitales tramitan el 99,7 % de sus contratos por régimen especial y solo el 0,3 % por contratación directa; las alcaldías, el 86,7 % por contratación directa. Entre las 52 alcaldías y municipios comparables, la mediana de contratación directa es 82,7 % y el rango va de 61,4 % a 97,4 %. El máximo (Municipio de Soacha: 97,4 % sobre 5.857 contratos) alcanza un z robusto de 1,90 dentro de su grupo de pares, por debajo del umbral de 2,0 que el equipo fijó antes de observar los resultados.</w:t>
            </w:r>
          </w:p>
        </w:tc>
      </w:tr>
      <w:tr w:rsidR="00AB0BE8" w14:paraId="5DF39705" w14:textId="77777777">
        <w:tblPrEx>
          <w:tblCellMar>
            <w:top w:w="0" w:type="dxa"/>
            <w:bottom w:w="0" w:type="dxa"/>
          </w:tblCellMar>
        </w:tblPrEx>
        <w:tc>
          <w:tcPr>
            <w:tcW w:w="2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00" w:type="dxa"/>
            </w:tcMar>
            <w:vAlign w:val="center"/>
          </w:tcPr>
          <w:p w14:paraId="69DAD1EB" w14:textId="77777777" w:rsidR="00AB0BE8" w:rsidRDefault="00000000">
            <w:r>
              <w:rPr>
                <w:b/>
                <w:bCs/>
                <w:color w:val="1A1A1A"/>
                <w:sz w:val="18"/>
                <w:szCs w:val="18"/>
              </w:rPr>
              <w:t>Fuente en el notebook</w:t>
            </w:r>
          </w:p>
        </w:tc>
        <w:tc>
          <w:tcPr>
            <w:tcW w:w="7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AB40183" w14:textId="77777777" w:rsidR="00AB0BE8" w:rsidRDefault="00000000">
            <w:pPr>
              <w:spacing w:after="40"/>
            </w:pPr>
            <w:r>
              <w:rPr>
                <w:b w:val="0"/>
                <w:i w:val="0"/>
              </w:rPr>
              <w:t>E1 (sección 9), sobre el panel de indicadores por entidad de la sección 8.2.</w:t>
            </w:r>
          </w:p>
        </w:tc>
      </w:tr>
      <w:tr w:rsidR="00AB0BE8" w14:paraId="61A9FD20" w14:textId="77777777">
        <w:tblPrEx>
          <w:tblCellMar>
            <w:top w:w="0" w:type="dxa"/>
            <w:bottom w:w="0" w:type="dxa"/>
          </w:tblCellMar>
        </w:tblPrEx>
        <w:tc>
          <w:tcPr>
            <w:tcW w:w="2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00" w:type="dxa"/>
            </w:tcMar>
            <w:vAlign w:val="center"/>
          </w:tcPr>
          <w:p w14:paraId="64F574E1" w14:textId="77777777" w:rsidR="00AB0BE8" w:rsidRDefault="00000000">
            <w:r>
              <w:rPr>
                <w:b/>
                <w:bCs/>
                <w:color w:val="1A1A1A"/>
                <w:sz w:val="18"/>
                <w:szCs w:val="18"/>
              </w:rPr>
              <w:t>Hipótesis explicativa</w:t>
            </w:r>
          </w:p>
        </w:tc>
        <w:tc>
          <w:tcPr>
            <w:tcW w:w="7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791C251" w14:textId="77777777" w:rsidR="00AB0BE8" w:rsidRDefault="00000000">
            <w:pPr>
              <w:spacing w:after="40"/>
            </w:pPr>
            <w:r>
              <w:rPr>
                <w:b w:val="0"/>
                <w:i w:val="0"/>
              </w:rPr>
              <w:t>La modalidad de contratación parece estar determinada, en primer lugar, por el marco normativo aplicable a la entidad —las ESE contratan bajo el régimen especial de salud— y, en segundo lugar, por la composición de su objeto contractual. La dispersión que queda dentro del grupo de alcaldías es compatible con diferencias de tamaño y de estructura de planta de personal, y no necesariamente con un comportamiento anómalo.</w:t>
            </w:r>
          </w:p>
        </w:tc>
      </w:tr>
      <w:tr w:rsidR="00AB0BE8" w14:paraId="6782D4B8" w14:textId="77777777">
        <w:tblPrEx>
          <w:tblCellMar>
            <w:top w:w="0" w:type="dxa"/>
            <w:bottom w:w="0" w:type="dxa"/>
          </w:tblCellMar>
        </w:tblPrEx>
        <w:tc>
          <w:tcPr>
            <w:tcW w:w="2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00" w:type="dxa"/>
            </w:tcMar>
            <w:vAlign w:val="center"/>
          </w:tcPr>
          <w:p w14:paraId="51609701" w14:textId="77777777" w:rsidR="00AB0BE8" w:rsidRDefault="00000000">
            <w:r>
              <w:rPr>
                <w:b/>
                <w:bCs/>
                <w:color w:val="1A1A1A"/>
                <w:sz w:val="18"/>
                <w:szCs w:val="18"/>
              </w:rPr>
              <w:t>Duda pendiente</w:t>
            </w:r>
          </w:p>
        </w:tc>
        <w:tc>
          <w:tcPr>
            <w:tcW w:w="7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18DEE2A" w14:textId="77777777" w:rsidR="00AB0BE8" w:rsidRDefault="00000000">
            <w:pPr>
              <w:spacing w:after="40"/>
            </w:pPr>
            <w:r>
              <w:rPr>
                <w:b w:val="0"/>
                <w:i w:val="0"/>
              </w:rPr>
              <w:t>Falta descomponer el indicador por tipo de contrato. Si las alcaldías con mayor proporción de contratación directa fueran simplemente las que más prestación de servicios contratan —donde la contratación directa es la vía legalmente prevista—, el indicador estaría midiendo composición del objeto contractual y no margen de decisión de la entidad. Esta duda es la que da origen a la objeción trabajada en la semana 2.</w:t>
            </w:r>
          </w:p>
        </w:tc>
      </w:tr>
    </w:tbl>
    <w:p w14:paraId="21277CC0" w14:textId="77777777" w:rsidR="00AB0BE8" w:rsidRDefault="00000000">
      <w:r>
        <w:br w:type="page"/>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7560"/>
      </w:tblGrid>
      <w:tr w:rsidR="00AB0BE8" w14:paraId="53D6D1AC" w14:textId="77777777">
        <w:tblPrEx>
          <w:tblCellMar>
            <w:top w:w="0" w:type="dxa"/>
            <w:bottom w:w="0" w:type="dxa"/>
          </w:tblCellMar>
        </w:tblPrEx>
        <w:tc>
          <w:tcPr>
            <w:tcW w:w="9940" w:type="dxa"/>
            <w:gridSpan w:val="2"/>
            <w:tcBorders>
              <w:top w:val="single" w:sz="4" w:space="0" w:color="BFBFBF"/>
              <w:left w:val="single" w:sz="4" w:space="0" w:color="BFBFBF"/>
              <w:bottom w:val="single" w:sz="4" w:space="0" w:color="BFBFBF"/>
              <w:right w:val="single" w:sz="4" w:space="0" w:color="BFBFBF"/>
            </w:tcBorders>
            <w:shd w:val="clear" w:color="auto" w:fill="1F4E79"/>
            <w:tcMar>
              <w:top w:w="65" w:type="dxa"/>
              <w:left w:w="140" w:type="dxa"/>
              <w:bottom w:w="65" w:type="dxa"/>
              <w:right w:w="140" w:type="dxa"/>
            </w:tcMar>
          </w:tcPr>
          <w:p w14:paraId="02E9866E" w14:textId="77777777" w:rsidR="00AB0BE8" w:rsidRDefault="00000000">
            <w:r>
              <w:rPr>
                <w:b/>
                <w:bCs/>
                <w:color w:val="FFFFFF"/>
                <w:sz w:val="20"/>
                <w:szCs w:val="20"/>
              </w:rPr>
              <w:lastRenderedPageBreak/>
              <w:t>Tarjeta de evidencia 2 de 3</w:t>
            </w:r>
          </w:p>
        </w:tc>
      </w:tr>
      <w:tr w:rsidR="00AB0BE8" w14:paraId="355E666B" w14:textId="77777777">
        <w:tblPrEx>
          <w:tblCellMar>
            <w:top w:w="0" w:type="dxa"/>
            <w:bottom w:w="0" w:type="dxa"/>
          </w:tblCellMar>
        </w:tblPrEx>
        <w:tc>
          <w:tcPr>
            <w:tcW w:w="2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00" w:type="dxa"/>
            </w:tcMar>
            <w:vAlign w:val="center"/>
          </w:tcPr>
          <w:p w14:paraId="733697AA" w14:textId="77777777" w:rsidR="00AB0BE8" w:rsidRDefault="00000000">
            <w:r>
              <w:rPr>
                <w:b/>
                <w:bCs/>
                <w:color w:val="1A1A1A"/>
                <w:sz w:val="18"/>
                <w:szCs w:val="18"/>
              </w:rPr>
              <w:t>Hallazgo</w:t>
            </w:r>
          </w:p>
        </w:tc>
        <w:tc>
          <w:tcPr>
            <w:tcW w:w="7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0653FFC" w14:textId="77777777" w:rsidR="00AB0BE8" w:rsidRDefault="00000000">
            <w:pPr>
              <w:spacing w:after="40"/>
            </w:pPr>
            <w:r>
              <w:rPr>
                <w:b w:val="0"/>
                <w:i w:val="0"/>
              </w:rPr>
              <w:t>Las entidades que aparentan la mayor concentración temporal de firmas no contratan de forma atípica: reportan de forma incompleta en SECOP II. Una vez corregido eso, la concentración que queda es un patrón común a todo el departamento —el pico de firmas de enero y febrero, compatible con el inicio de la vigencia fiscal— y no un rasgo distintivo de ninguna entidad.</w:t>
            </w:r>
          </w:p>
        </w:tc>
      </w:tr>
      <w:tr w:rsidR="00AB0BE8" w14:paraId="1A3D358C" w14:textId="77777777">
        <w:tblPrEx>
          <w:tblCellMar>
            <w:top w:w="0" w:type="dxa"/>
            <w:bottom w:w="0" w:type="dxa"/>
          </w:tblCellMar>
        </w:tblPrEx>
        <w:tc>
          <w:tcPr>
            <w:tcW w:w="2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00" w:type="dxa"/>
            </w:tcMar>
            <w:vAlign w:val="center"/>
          </w:tcPr>
          <w:p w14:paraId="018BEE51" w14:textId="77777777" w:rsidR="00AB0BE8" w:rsidRDefault="00000000">
            <w:r>
              <w:rPr>
                <w:b/>
                <w:bCs/>
                <w:color w:val="1A1A1A"/>
                <w:sz w:val="18"/>
                <w:szCs w:val="18"/>
              </w:rPr>
              <w:t>Cifra</w:t>
            </w:r>
          </w:p>
        </w:tc>
        <w:tc>
          <w:tcPr>
            <w:tcW w:w="7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0424BED" w14:textId="77777777" w:rsidR="00AB0BE8" w:rsidRDefault="00000000">
            <w:pPr>
              <w:spacing w:after="40"/>
            </w:pPr>
            <w:r>
              <w:rPr>
                <w:b w:val="0"/>
                <w:i w:val="0"/>
              </w:rPr>
              <w:t>Las 5 entidades que encabezan el ranking crudo de concentración reportan entre 3 y 17 meses de los 24 del recorte: la ESE Hospital Nuestra Señora del Carmen de Tabio publica en 3 meses y concentra el 77,2 % de sus contratos en uno solo, y la Alcaldía Municipal de Viotá publica en 6 meses. Aplicado el filtro de cobertura, el HHI mensual mediano de las 52 alcaldías comparables es 0,067 (un reparto uniforme en 24 meses daría 0,042) y el máximo —Alcaldía Municipal de Sopó, z = 3,70— concentra el 19,8 % de sus 1.126 contratos en un solo mes. En el recorte completo, enero y febrero de 2025 reúnen el 37,8 % de las firmas de ese año, frente al 21,8 % de enero y febrero de 2024.</w:t>
            </w:r>
          </w:p>
        </w:tc>
      </w:tr>
      <w:tr w:rsidR="00AB0BE8" w14:paraId="63A2981C" w14:textId="77777777">
        <w:tblPrEx>
          <w:tblCellMar>
            <w:top w:w="0" w:type="dxa"/>
            <w:bottom w:w="0" w:type="dxa"/>
          </w:tblCellMar>
        </w:tblPrEx>
        <w:tc>
          <w:tcPr>
            <w:tcW w:w="2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00" w:type="dxa"/>
            </w:tcMar>
            <w:vAlign w:val="center"/>
          </w:tcPr>
          <w:p w14:paraId="393BF482" w14:textId="77777777" w:rsidR="00AB0BE8" w:rsidRDefault="00000000">
            <w:r>
              <w:rPr>
                <w:b/>
                <w:bCs/>
                <w:color w:val="1A1A1A"/>
                <w:sz w:val="18"/>
                <w:szCs w:val="18"/>
              </w:rPr>
              <w:t>Fuente en el notebook</w:t>
            </w:r>
          </w:p>
        </w:tc>
        <w:tc>
          <w:tcPr>
            <w:tcW w:w="7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C1FDEFD" w14:textId="77777777" w:rsidR="00AB0BE8" w:rsidRDefault="00000000">
            <w:pPr>
              <w:spacing w:after="40"/>
            </w:pPr>
            <w:r>
              <w:rPr>
                <w:b w:val="0"/>
                <w:i w:val="0"/>
              </w:rPr>
              <w:t>E2 (sección 9), sobre el diagnóstico de cobertura de reporte de la sección 7 y el marco de comparación de la sección 8.2.</w:t>
            </w:r>
          </w:p>
        </w:tc>
      </w:tr>
      <w:tr w:rsidR="00AB0BE8" w14:paraId="77E754F3" w14:textId="77777777">
        <w:tblPrEx>
          <w:tblCellMar>
            <w:top w:w="0" w:type="dxa"/>
            <w:bottom w:w="0" w:type="dxa"/>
          </w:tblCellMar>
        </w:tblPrEx>
        <w:tc>
          <w:tcPr>
            <w:tcW w:w="2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00" w:type="dxa"/>
            </w:tcMar>
            <w:vAlign w:val="center"/>
          </w:tcPr>
          <w:p w14:paraId="6FB25C0F" w14:textId="77777777" w:rsidR="00AB0BE8" w:rsidRDefault="00000000">
            <w:r>
              <w:rPr>
                <w:b/>
                <w:bCs/>
                <w:color w:val="1A1A1A"/>
                <w:sz w:val="18"/>
                <w:szCs w:val="18"/>
              </w:rPr>
              <w:t>Hipótesis explicativa</w:t>
            </w:r>
          </w:p>
        </w:tc>
        <w:tc>
          <w:tcPr>
            <w:tcW w:w="7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882AF40" w14:textId="77777777" w:rsidR="00AB0BE8" w:rsidRDefault="00000000">
            <w:pPr>
              <w:spacing w:after="40"/>
            </w:pPr>
            <w:r>
              <w:rPr>
                <w:b w:val="0"/>
                <w:i w:val="0"/>
              </w:rPr>
              <w:t>El pico de enero y febrero es compatible con el ciclo presupuestal anual: los contratos de prestación de servicios se firman o se renuevan al comenzar la vigencia fiscal. El caso de Sopó, el único que supera el umbral en este indicador, es compatible con ese mismo ciclo amplificado por una entidad que concentra más su calendario de contratación.</w:t>
            </w:r>
          </w:p>
        </w:tc>
      </w:tr>
      <w:tr w:rsidR="00AB0BE8" w14:paraId="3B85D4BE" w14:textId="77777777">
        <w:tblPrEx>
          <w:tblCellMar>
            <w:top w:w="0" w:type="dxa"/>
            <w:bottom w:w="0" w:type="dxa"/>
          </w:tblCellMar>
        </w:tblPrEx>
        <w:tc>
          <w:tcPr>
            <w:tcW w:w="2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00" w:type="dxa"/>
            </w:tcMar>
            <w:vAlign w:val="center"/>
          </w:tcPr>
          <w:p w14:paraId="00B2E57E" w14:textId="77777777" w:rsidR="00AB0BE8" w:rsidRDefault="00000000">
            <w:r>
              <w:rPr>
                <w:b/>
                <w:bCs/>
                <w:color w:val="1A1A1A"/>
                <w:sz w:val="18"/>
                <w:szCs w:val="18"/>
              </w:rPr>
              <w:t>Duda pendiente</w:t>
            </w:r>
          </w:p>
        </w:tc>
        <w:tc>
          <w:tcPr>
            <w:tcW w:w="7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A1AC5F2" w14:textId="77777777" w:rsidR="00AB0BE8" w:rsidRDefault="00000000">
            <w:pPr>
              <w:spacing w:after="40"/>
            </w:pPr>
            <w:r>
              <w:rPr>
                <w:b w:val="0"/>
                <w:i w:val="0"/>
              </w:rPr>
              <w:t>El HHI mensual no distingue entre firmar mucho en enero (ciclo presupuestal, esperable) y firmar mucho en un mes cualquiera (que sí sería llamativo). Haría falta un indicador de concentración ajustado por el mes del año, o medir la concentración en ventanas de días en lugar de meses. Queda además por verificar si las 15 entidades apartadas tienen un problema de reporte o realmente dejaron de contratar.</w:t>
            </w:r>
          </w:p>
        </w:tc>
      </w:tr>
    </w:tbl>
    <w:p w14:paraId="183F61A8" w14:textId="77777777" w:rsidR="00AB0BE8" w:rsidRDefault="00000000">
      <w:r>
        <w:br w:type="page"/>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7560"/>
      </w:tblGrid>
      <w:tr w:rsidR="00AB0BE8" w14:paraId="4A2F79A6" w14:textId="77777777">
        <w:tblPrEx>
          <w:tblCellMar>
            <w:top w:w="0" w:type="dxa"/>
            <w:bottom w:w="0" w:type="dxa"/>
          </w:tblCellMar>
        </w:tblPrEx>
        <w:tc>
          <w:tcPr>
            <w:tcW w:w="9940" w:type="dxa"/>
            <w:gridSpan w:val="2"/>
            <w:tcBorders>
              <w:top w:val="single" w:sz="4" w:space="0" w:color="BFBFBF"/>
              <w:left w:val="single" w:sz="4" w:space="0" w:color="BFBFBF"/>
              <w:bottom w:val="single" w:sz="4" w:space="0" w:color="BFBFBF"/>
              <w:right w:val="single" w:sz="4" w:space="0" w:color="BFBFBF"/>
            </w:tcBorders>
            <w:shd w:val="clear" w:color="auto" w:fill="1F4E79"/>
            <w:tcMar>
              <w:top w:w="65" w:type="dxa"/>
              <w:left w:w="140" w:type="dxa"/>
              <w:bottom w:w="65" w:type="dxa"/>
              <w:right w:w="140" w:type="dxa"/>
            </w:tcMar>
          </w:tcPr>
          <w:p w14:paraId="52921B55" w14:textId="77777777" w:rsidR="00AB0BE8" w:rsidRDefault="00000000">
            <w:r>
              <w:rPr>
                <w:b/>
                <w:bCs/>
                <w:color w:val="FFFFFF"/>
                <w:sz w:val="20"/>
                <w:szCs w:val="20"/>
              </w:rPr>
              <w:lastRenderedPageBreak/>
              <w:t>Tarjeta de evidencia 3 de 3</w:t>
            </w:r>
          </w:p>
        </w:tc>
      </w:tr>
      <w:tr w:rsidR="00AB0BE8" w14:paraId="4941204D" w14:textId="77777777">
        <w:tblPrEx>
          <w:tblCellMar>
            <w:top w:w="0" w:type="dxa"/>
            <w:bottom w:w="0" w:type="dxa"/>
          </w:tblCellMar>
        </w:tblPrEx>
        <w:tc>
          <w:tcPr>
            <w:tcW w:w="2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00" w:type="dxa"/>
            </w:tcMar>
            <w:vAlign w:val="center"/>
          </w:tcPr>
          <w:p w14:paraId="1A5AB31E" w14:textId="77777777" w:rsidR="00AB0BE8" w:rsidRDefault="00000000">
            <w:r>
              <w:rPr>
                <w:b/>
                <w:bCs/>
                <w:color w:val="1A1A1A"/>
                <w:sz w:val="18"/>
                <w:szCs w:val="18"/>
              </w:rPr>
              <w:t>Hallazgo</w:t>
            </w:r>
          </w:p>
        </w:tc>
        <w:tc>
          <w:tcPr>
            <w:tcW w:w="7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4964943" w14:textId="77777777" w:rsidR="00AB0BE8" w:rsidRDefault="00000000">
            <w:pPr>
              <w:spacing w:after="40"/>
            </w:pPr>
            <w:r>
              <w:rPr>
                <w:b w:val="0"/>
                <w:i w:val="0"/>
              </w:rPr>
              <w:t>El valor contratado del recorte está extremadamente concentrado en muy pocos contratos, pero esa concentración no se traduce en entidades atípicas: la cuantía típica por entidad varía de forma continua entre alcaldías comparables, sin ningún salto de escala que permita separar un grupo del resto. Para el cliente esto significa que la lista de priorización no puede construirse mirando cuantías, porque priorizar por tamaño llevaría a revisar siempre a los mismos municipios grandes.</w:t>
            </w:r>
          </w:p>
        </w:tc>
      </w:tr>
      <w:tr w:rsidR="00AB0BE8" w14:paraId="66A2EB7E" w14:textId="77777777">
        <w:tblPrEx>
          <w:tblCellMar>
            <w:top w:w="0" w:type="dxa"/>
            <w:bottom w:w="0" w:type="dxa"/>
          </w:tblCellMar>
        </w:tblPrEx>
        <w:tc>
          <w:tcPr>
            <w:tcW w:w="2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00" w:type="dxa"/>
            </w:tcMar>
            <w:vAlign w:val="center"/>
          </w:tcPr>
          <w:p w14:paraId="6280FB1E" w14:textId="77777777" w:rsidR="00AB0BE8" w:rsidRDefault="00000000">
            <w:r>
              <w:rPr>
                <w:b/>
                <w:bCs/>
                <w:color w:val="1A1A1A"/>
                <w:sz w:val="18"/>
                <w:szCs w:val="18"/>
              </w:rPr>
              <w:t>Cifra</w:t>
            </w:r>
          </w:p>
        </w:tc>
        <w:tc>
          <w:tcPr>
            <w:tcW w:w="7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92EA33D" w14:textId="77777777" w:rsidR="00AB0BE8" w:rsidRDefault="00000000">
            <w:pPr>
              <w:spacing w:after="40"/>
            </w:pPr>
            <w:r>
              <w:rPr>
                <w:b w:val="0"/>
                <w:i w:val="0"/>
              </w:rPr>
              <w:t>Entre los 100.756 contratos con cuantía informada, la media ($96,2 millones) es 5,5 veces la mediana ($17,6 millones), y el 0,1 % de contratos de mayor cuantía —100 contratos— concentra el 34,9 % del valor total del recorte. Entre las 52 alcaldías comparables, la cuantía mediana por entidad va de $9,4 a $29,2 millones (un factor de 3,1), con mediana de grupo de $16,2 millones; el máximo (Municipio de Tocancipá, $29,2 millones) alcanza z = 2,27.</w:t>
            </w:r>
          </w:p>
        </w:tc>
      </w:tr>
      <w:tr w:rsidR="00AB0BE8" w14:paraId="2C7AB7EA" w14:textId="77777777">
        <w:tblPrEx>
          <w:tblCellMar>
            <w:top w:w="0" w:type="dxa"/>
            <w:bottom w:w="0" w:type="dxa"/>
          </w:tblCellMar>
        </w:tblPrEx>
        <w:tc>
          <w:tcPr>
            <w:tcW w:w="2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00" w:type="dxa"/>
            </w:tcMar>
            <w:vAlign w:val="center"/>
          </w:tcPr>
          <w:p w14:paraId="13313584" w14:textId="77777777" w:rsidR="00AB0BE8" w:rsidRDefault="00000000">
            <w:r>
              <w:rPr>
                <w:b/>
                <w:bCs/>
                <w:color w:val="1A1A1A"/>
                <w:sz w:val="18"/>
                <w:szCs w:val="18"/>
              </w:rPr>
              <w:t>Fuente en el notebook</w:t>
            </w:r>
          </w:p>
        </w:tc>
        <w:tc>
          <w:tcPr>
            <w:tcW w:w="7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1DEBC47" w14:textId="77777777" w:rsidR="00AB0BE8" w:rsidRDefault="00000000">
            <w:pPr>
              <w:spacing w:after="40"/>
            </w:pPr>
            <w:r>
              <w:rPr>
                <w:b w:val="0"/>
                <w:i w:val="0"/>
              </w:rPr>
              <w:t>E3 (sección 9), sobre el panel de indicadores de la sección 8.2 y el diagnóstico de cuantías de la sección 7.</w:t>
            </w:r>
          </w:p>
        </w:tc>
      </w:tr>
      <w:tr w:rsidR="00AB0BE8" w14:paraId="1C3A1C75" w14:textId="77777777">
        <w:tblPrEx>
          <w:tblCellMar>
            <w:top w:w="0" w:type="dxa"/>
            <w:bottom w:w="0" w:type="dxa"/>
          </w:tblCellMar>
        </w:tblPrEx>
        <w:tc>
          <w:tcPr>
            <w:tcW w:w="2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00" w:type="dxa"/>
            </w:tcMar>
            <w:vAlign w:val="center"/>
          </w:tcPr>
          <w:p w14:paraId="7AEE68C4" w14:textId="77777777" w:rsidR="00AB0BE8" w:rsidRDefault="00000000">
            <w:r>
              <w:rPr>
                <w:b/>
                <w:bCs/>
                <w:color w:val="1A1A1A"/>
                <w:sz w:val="18"/>
                <w:szCs w:val="18"/>
              </w:rPr>
              <w:t>Hipótesis explicativa</w:t>
            </w:r>
          </w:p>
        </w:tc>
        <w:tc>
          <w:tcPr>
            <w:tcW w:w="7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7362276" w14:textId="77777777" w:rsidR="00AB0BE8" w:rsidRDefault="00000000">
            <w:pPr>
              <w:spacing w:after="40"/>
            </w:pPr>
            <w:r>
              <w:rPr>
                <w:b w:val="0"/>
                <w:i w:val="0"/>
              </w:rPr>
              <w:t>La cuantía mediana por entidad es compatible con el nivel de ingresos del municipio y con la composición de su objeto contractual: los municipios de la sabana con mayor recaudo (Tocancipá, Cota, Cajicá, Chía) aparecen en la parte alta y los municipios pequeños en la baja. Es decir, el indicador parece estar midiendo capacidad fiscal, que es una característica estructural del municipio, antes que un indicio de atipicidad.</w:t>
            </w:r>
          </w:p>
        </w:tc>
      </w:tr>
      <w:tr w:rsidR="00AB0BE8" w14:paraId="1FA00691" w14:textId="77777777">
        <w:tblPrEx>
          <w:tblCellMar>
            <w:top w:w="0" w:type="dxa"/>
            <w:bottom w:w="0" w:type="dxa"/>
          </w:tblCellMar>
        </w:tblPrEx>
        <w:tc>
          <w:tcPr>
            <w:tcW w:w="2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00" w:type="dxa"/>
            </w:tcMar>
            <w:vAlign w:val="center"/>
          </w:tcPr>
          <w:p w14:paraId="7C6267D4" w14:textId="77777777" w:rsidR="00AB0BE8" w:rsidRDefault="00000000">
            <w:r>
              <w:rPr>
                <w:b/>
                <w:bCs/>
                <w:color w:val="1A1A1A"/>
                <w:sz w:val="18"/>
                <w:szCs w:val="18"/>
              </w:rPr>
              <w:t>Duda pendiente</w:t>
            </w:r>
          </w:p>
        </w:tc>
        <w:tc>
          <w:tcPr>
            <w:tcW w:w="7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6361A1D" w14:textId="77777777" w:rsidR="00AB0BE8" w:rsidRDefault="00000000">
            <w:pPr>
              <w:spacing w:after="40"/>
            </w:pPr>
            <w:r>
              <w:rPr>
                <w:b w:val="0"/>
                <w:i w:val="0"/>
              </w:rPr>
              <w:t>Falta normalizar la cuantía por un denominador de tamaño: población, presupuesto municipal o categoría de ley. Sin ese denominador, el indicador no distingue entre contratar caro para lo que la entidad es y simplemente ser un municipio grande. Esa información no está en SECOP II y exigiría cruzar con una fuente externa (DANE o categorización municipal), lo cual excede el alcance de este recorte.</w:t>
            </w:r>
          </w:p>
        </w:tc>
      </w:tr>
    </w:tbl>
    <w:p w14:paraId="59289F72" w14:textId="77777777" w:rsidR="00AB0BE8" w:rsidRDefault="00000000">
      <w:r>
        <w:br w:type="page"/>
      </w:r>
    </w:p>
    <w:p w14:paraId="0679D027" w14:textId="77777777" w:rsidR="00AB0BE8" w:rsidRDefault="00000000">
      <w:pPr>
        <w:spacing w:after="60"/>
      </w:pPr>
      <w:r>
        <w:rPr>
          <w:b/>
          <w:bCs/>
          <w:color w:val="1F4E79"/>
          <w:sz w:val="20"/>
          <w:szCs w:val="20"/>
        </w:rPr>
        <w:lastRenderedPageBreak/>
        <w:t>Declaración de uso de herramientas de inteligencia artificial</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640"/>
      </w:tblGrid>
      <w:tr w:rsidR="00AB0BE8" w14:paraId="25547FC7"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40" w:type="dxa"/>
              <w:bottom w:w="70" w:type="dxa"/>
              <w:right w:w="110" w:type="dxa"/>
            </w:tcMar>
            <w:vAlign w:val="center"/>
          </w:tcPr>
          <w:p w14:paraId="0A3325B0" w14:textId="77777777" w:rsidR="00AB0BE8" w:rsidRDefault="00000000">
            <w:r>
              <w:rPr>
                <w:b/>
                <w:bCs/>
                <w:color w:val="1A1A1A"/>
                <w:sz w:val="18"/>
                <w:szCs w:val="18"/>
              </w:rPr>
              <w:t>Herramienta empleada</w:t>
            </w:r>
          </w:p>
        </w:tc>
        <w:tc>
          <w:tcPr>
            <w:tcW w:w="6640" w:type="dxa"/>
            <w:tcBorders>
              <w:top w:val="single" w:sz="4" w:space="0" w:color="BFBFBF"/>
              <w:left w:val="single" w:sz="4" w:space="0" w:color="BFBFBF"/>
              <w:bottom w:val="single" w:sz="4" w:space="0" w:color="BFBFBF"/>
              <w:right w:val="single" w:sz="4" w:space="0" w:color="BFBFBF"/>
            </w:tcBorders>
            <w:tcMar>
              <w:top w:w="70" w:type="dxa"/>
              <w:left w:w="140" w:type="dxa"/>
              <w:bottom w:w="70" w:type="dxa"/>
              <w:right w:w="140" w:type="dxa"/>
            </w:tcMar>
          </w:tcPr>
          <w:p w14:paraId="67398948" w14:textId="77777777" w:rsidR="00AB0BE8" w:rsidRDefault="00AB0BE8">
            <w:r>
              <w:rPr>
                <w:b w:val="0"/>
                <w:i w:val="0"/>
              </w:rPr>
              <w:t>Claude (Anthropic), asistente de código, ejecutado sobre el repositorio del equipo.</w:t>
            </w:r>
          </w:p>
        </w:tc>
      </w:tr>
      <w:tr w:rsidR="00AB0BE8" w14:paraId="6BA6BE38"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40" w:type="dxa"/>
              <w:bottom w:w="70" w:type="dxa"/>
              <w:right w:w="110" w:type="dxa"/>
            </w:tcMar>
            <w:vAlign w:val="center"/>
          </w:tcPr>
          <w:p w14:paraId="35B6A8FF" w14:textId="77777777" w:rsidR="00AB0BE8" w:rsidRDefault="00000000">
            <w:r>
              <w:rPr>
                <w:b/>
                <w:bCs/>
                <w:color w:val="1A1A1A"/>
                <w:sz w:val="18"/>
                <w:szCs w:val="18"/>
              </w:rPr>
              <w:t>Actividad en la que se empleó</w:t>
            </w:r>
          </w:p>
        </w:tc>
        <w:tc>
          <w:tcPr>
            <w:tcW w:w="6640" w:type="dxa"/>
            <w:tcBorders>
              <w:top w:val="single" w:sz="4" w:space="0" w:color="BFBFBF"/>
              <w:left w:val="single" w:sz="4" w:space="0" w:color="BFBFBF"/>
              <w:bottom w:val="single" w:sz="4" w:space="0" w:color="BFBFBF"/>
              <w:right w:val="single" w:sz="4" w:space="0" w:color="BFBFBF"/>
            </w:tcBorders>
            <w:tcMar>
              <w:top w:w="70" w:type="dxa"/>
              <w:left w:w="140" w:type="dxa"/>
              <w:bottom w:w="70" w:type="dxa"/>
              <w:right w:w="140" w:type="dxa"/>
            </w:tcMar>
          </w:tcPr>
          <w:p w14:paraId="3B7DFEDA" w14:textId="77777777" w:rsidR="00AB0BE8" w:rsidRDefault="00AB0BE8">
            <w:r>
              <w:rPr>
                <w:b w:val="0"/>
                <w:i w:val="0"/>
              </w:rPr>
              <w:t>Exploración inicial del recorte; redacción del código de descarga paginada desde la API de SECOP II; construcción del panel de indicadores por entidad y del z robusto por grupo de pares; generación de las figuras en matplotlib; y redacción de los textos del cuaderno y de estas tarjetas.</w:t>
            </w:r>
          </w:p>
        </w:tc>
      </w:tr>
      <w:tr w:rsidR="00AB0BE8" w14:paraId="4F82880C"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40" w:type="dxa"/>
              <w:bottom w:w="70" w:type="dxa"/>
              <w:right w:w="110" w:type="dxa"/>
            </w:tcMar>
            <w:vAlign w:val="center"/>
          </w:tcPr>
          <w:p w14:paraId="76DC600E" w14:textId="77777777" w:rsidR="00AB0BE8" w:rsidRDefault="00000000">
            <w:r>
              <w:rPr>
                <w:b/>
                <w:bCs/>
                <w:color w:val="1A1A1A"/>
                <w:sz w:val="18"/>
                <w:szCs w:val="18"/>
              </w:rPr>
              <w:t>Resultado que fue verificado y forma de verificación</w:t>
            </w:r>
          </w:p>
        </w:tc>
        <w:tc>
          <w:tcPr>
            <w:tcW w:w="6640" w:type="dxa"/>
            <w:tcBorders>
              <w:top w:val="single" w:sz="4" w:space="0" w:color="BFBFBF"/>
              <w:left w:val="single" w:sz="4" w:space="0" w:color="BFBFBF"/>
              <w:bottom w:val="single" w:sz="4" w:space="0" w:color="BFBFBF"/>
              <w:right w:val="single" w:sz="4" w:space="0" w:color="BFBFBF"/>
            </w:tcBorders>
            <w:tcMar>
              <w:top w:w="70" w:type="dxa"/>
              <w:left w:w="140" w:type="dxa"/>
              <w:bottom w:w="70" w:type="dxa"/>
              <w:right w:w="140" w:type="dxa"/>
            </w:tcMar>
          </w:tcPr>
          <w:p w14:paraId="7F5DE0B5" w14:textId="77777777" w:rsidR="00AB0BE8" w:rsidRDefault="00AB0BE8">
            <w:r>
              <w:rPr>
                <w:b w:val="0"/>
                <w:i w:val="0"/>
              </w:rPr>
              <w:t>(a) El tamaño del recorte se verificó de forma independiente contra la API de SECOP II con una consulta de agregación ($select=count(1)), que devolvió 101.475 y coincidió con las filas descargadas. (b) La regla de clasificación de entidades se auditó imprimiendo todas las entidades de cada clase: así se detectó que la Empresa de Servicios Públicos de Apulo quedaba clasificada como alcaldía y aparecía como la única alcaldía con 0 % de contratación directa, un falso hallazgo que se corrigió cambiando el orden de las reglas. (c) Las entidades que encabezaban el ranking de concentración temporal se revisaron una por una contra su calendario de firmas, lo que reveló que el indicador estaba midiendo cobertura de reporte. (d) Todas las cifras de estas tarjetas se regeneran ejecutando el cuaderno de principio a fin, sin intervención manual.</w:t>
            </w:r>
          </w:p>
        </w:tc>
      </w:tr>
      <w:tr w:rsidR="00AB0BE8" w14:paraId="1D18632D"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40" w:type="dxa"/>
              <w:bottom w:w="70" w:type="dxa"/>
              <w:right w:w="110" w:type="dxa"/>
            </w:tcMar>
            <w:vAlign w:val="center"/>
          </w:tcPr>
          <w:p w14:paraId="5DAA1DC8" w14:textId="77777777" w:rsidR="00AB0BE8" w:rsidRDefault="00000000">
            <w:r>
              <w:rPr>
                <w:b/>
                <w:bCs/>
                <w:color w:val="1A1A1A"/>
                <w:sz w:val="18"/>
                <w:szCs w:val="18"/>
              </w:rPr>
              <w:t>Decisión del equipo que no se delegó a la herramienta</w:t>
            </w:r>
          </w:p>
        </w:tc>
        <w:tc>
          <w:tcPr>
            <w:tcW w:w="6640" w:type="dxa"/>
            <w:tcBorders>
              <w:top w:val="single" w:sz="4" w:space="0" w:color="BFBFBF"/>
              <w:left w:val="single" w:sz="4" w:space="0" w:color="BFBFBF"/>
              <w:bottom w:val="single" w:sz="4" w:space="0" w:color="BFBFBF"/>
              <w:right w:val="single" w:sz="4" w:space="0" w:color="BFBFBF"/>
            </w:tcBorders>
            <w:tcMar>
              <w:top w:w="70" w:type="dxa"/>
              <w:left w:w="140" w:type="dxa"/>
              <w:bottom w:w="70" w:type="dxa"/>
              <w:right w:w="140" w:type="dxa"/>
            </w:tcMar>
          </w:tcPr>
          <w:p w14:paraId="6245714C" w14:textId="77777777" w:rsidR="00AB0BE8" w:rsidRDefault="00AB0BE8">
            <w:r>
              <w:rPr>
                <w:b w:val="0"/>
                <w:i w:val="0"/>
              </w:rPr>
              <w:t>La definición del criterio previo y del umbral de señalamiento (sección 2.1 del cuaderno), y la decisión de no moverlo al ver los resultados. Cuando quedó claro que ninguna entidad alcanzaba z ≥ 2, la alternativa cómoda era bajar el umbral o cambiar de indicador hasta que algo saliera; el equipo decidió conservar el criterio registrado y emitir un veredicto de parcialmente respaldada. Tampoco se delegaron la elección de los pares de comparación ni el lenguaje de la recomendación final, que es deliberadamente de priorización de revisión y nunca de señalamiento de conductas.</w:t>
            </w:r>
          </w:p>
        </w:tc>
      </w:tr>
    </w:tbl>
    <w:p w14:paraId="4BA184C5" w14:textId="77777777" w:rsidR="00AB0BE8" w:rsidRDefault="00AB0BE8">
      <w:pPr>
        <w:spacing w:after="160"/>
      </w:pPr>
    </w:p>
    <w:tbl>
      <w:tblPr>
        <w:tblW w:w="99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5112"/>
        <w:gridCol w:w="2016"/>
      </w:tblGrid>
      <w:tr w:rsidR="00AB0BE8" w:rsidRPr="009B3089" w14:paraId="6B268825" w14:textId="77777777">
        <w:tblPrEx>
          <w:tblCellMar>
            <w:top w:w="0" w:type="dxa"/>
            <w:bottom w:w="0" w:type="dxa"/>
          </w:tblCellMar>
        </w:tblPrEx>
        <w:tc>
          <w:tcPr>
            <w:tcW w:w="2808" w:type="dxa"/>
            <w:tcBorders>
              <w:top w:val="none" w:sz="0" w:space="0" w:color="FFFFFF"/>
              <w:left w:val="none" w:sz="0" w:space="0" w:color="FFFFFF"/>
              <w:bottom w:val="none" w:sz="0" w:space="0" w:color="FFFFFF"/>
              <w:right w:val="none" w:sz="0" w:space="0" w:color="FFFFFF"/>
            </w:tcBorders>
          </w:tcPr>
          <w:p w14:paraId="0E6F6817" w14:textId="77777777" w:rsidR="00AB0BE8" w:rsidRDefault="00000000">
            <w:pPr>
              <w:pBdr>
                <w:bottom w:val="single" w:sz="6" w:space="0" w:color="1A1A1A"/>
              </w:pBdr>
              <w:spacing w:before="220" w:after="60"/>
            </w:pPr>
            <w:r>
              <w:rPr>
                <w:color w:val="1A1A1A"/>
                <w:sz w:val="20"/>
                <w:szCs w:val="20"/>
              </w:rPr>
              <w:t xml:space="preserve"> </w:t>
            </w:r>
          </w:p>
          <w:p w14:paraId="62F8EAC2" w14:textId="77777777" w:rsidR="00AB0BE8" w:rsidRDefault="00000000">
            <w:r>
              <w:rPr>
                <w:b/>
                <w:bCs/>
                <w:color w:val="1A1A1A"/>
                <w:sz w:val="18"/>
                <w:szCs w:val="18"/>
              </w:rPr>
              <w:t>Elaborado por (equipo de trabajo)</w:t>
            </w:r>
          </w:p>
          <w:p w14:paraId="0252FB5B" w14:textId="77777777" w:rsidR="00AB0BE8" w:rsidRDefault="00000000">
            <w:r>
              <w:rPr>
                <w:color w:val="595959"/>
                <w:sz w:val="16"/>
                <w:szCs w:val="16"/>
              </w:rPr>
              <w:t>Integrantes y fecha de entrega</w:t>
            </w:r>
          </w:p>
        </w:tc>
        <w:tc>
          <w:tcPr>
            <w:tcW w:w="5112" w:type="dxa"/>
            <w:tcBorders>
              <w:top w:val="none" w:sz="0" w:space="0" w:color="FFFFFF"/>
              <w:left w:val="none" w:sz="0" w:space="0" w:color="FFFFFF"/>
              <w:bottom w:val="none" w:sz="0" w:space="0" w:color="FFFFFF"/>
              <w:right w:val="none" w:sz="0" w:space="0" w:color="FFFFFF"/>
            </w:tcBorders>
          </w:tcPr>
          <w:p w14:paraId="44819498" w14:textId="77777777" w:rsidR="00AB0BE8" w:rsidRDefault="00AB0BE8">
            <w:r>
              <w:rPr>
                <w:i w:val="0"/>
              </w:rPr>
              <w:t>Neyder Sebastián Orozco Villamil</w:t>
            </w:r>
          </w:p>
          <w:p>
            <w:r>
              <w:rPr>
                <w:i w:val="0"/>
              </w:rPr>
              <w:t>Marco Antonio Díaz González</w:t>
            </w:r>
          </w:p>
          <w:p>
            <w:r>
              <w:rPr>
                <w:i w:val="0"/>
              </w:rPr>
              <w:t>Miguel Ángel Espinosa Esparza</w:t>
            </w:r>
          </w:p>
        </w:tc>
        <w:tc>
          <w:tcPr>
            <w:tcW w:w="2016" w:type="dxa"/>
            <w:tcBorders>
              <w:top w:val="none" w:sz="0" w:space="0" w:color="FFFFFF"/>
              <w:left w:val="none" w:sz="0" w:space="0" w:color="FFFFFF"/>
              <w:bottom w:val="none" w:sz="0" w:space="0" w:color="FFFFFF"/>
              <w:right w:val="none" w:sz="0" w:space="0" w:color="FFFFFF"/>
            </w:tcBorders>
          </w:tcPr>
          <w:p w14:paraId="73505053" w14:textId="07D7D991" w:rsidR="00AB0BE8" w:rsidRPr="009B3089" w:rsidRDefault="00AB0BE8">
            <w:pPr>
              <w:rPr>
                <w:lang w:val="pt-BR"/>
              </w:rPr>
            </w:pPr>
            <w:r>
              <w:rPr>
                <w:b w:val="0"/>
                <w:i w:val="0"/>
              </w:rPr>
              <w:t>20-09-2026</w:t>
            </w:r>
          </w:p>
        </w:tc>
      </w:tr>
    </w:tbl>
    <w:p w14:paraId="4041E75B" w14:textId="77777777" w:rsidR="00833892" w:rsidRPr="009B3089" w:rsidRDefault="00833892">
      <w:pPr>
        <w:rPr>
          <w:lang w:val="pt-BR"/>
        </w:rPr>
      </w:pPr>
    </w:p>
    <w:sectPr w:rsidR="00833892" w:rsidRPr="009B3089">
      <w:footerReference w:type="default" r:id="rId7"/>
      <w:pgSz w:w="12240" w:h="15840"/>
      <w:pgMar w:top="850" w:right="1150" w:bottom="90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3A4D0" w14:textId="77777777" w:rsidR="00833892" w:rsidRDefault="00833892">
      <w:r>
        <w:separator/>
      </w:r>
    </w:p>
  </w:endnote>
  <w:endnote w:type="continuationSeparator" w:id="0">
    <w:p w14:paraId="1840D2E0" w14:textId="77777777" w:rsidR="00833892" w:rsidRDefault="00833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4062" w14:textId="77777777" w:rsidR="00AB0BE8" w:rsidRDefault="00000000">
    <w:pPr>
      <w:pBdr>
        <w:top w:val="single" w:sz="4" w:space="0" w:color="BFBFBF"/>
      </w:pBdr>
      <w:tabs>
        <w:tab w:val="right" w:pos="9940"/>
      </w:tabs>
      <w:spacing w:before="70"/>
    </w:pPr>
    <w:r>
      <w:rPr>
        <w:color w:val="595959"/>
        <w:sz w:val="15"/>
        <w:szCs w:val="15"/>
      </w:rPr>
      <w:t xml:space="preserve">Tablero de evidencia. Data </w:t>
    </w:r>
    <w:proofErr w:type="spellStart"/>
    <w:r>
      <w:rPr>
        <w:color w:val="595959"/>
        <w:sz w:val="15"/>
        <w:szCs w:val="15"/>
      </w:rPr>
      <w:t>Analytics</w:t>
    </w:r>
    <w:proofErr w:type="spellEnd"/>
    <w:r>
      <w:rPr>
        <w:color w:val="595959"/>
        <w:sz w:val="15"/>
        <w:szCs w:val="15"/>
      </w:rPr>
      <w:t>, 2026-2</w:t>
    </w:r>
    <w:r>
      <w:rPr>
        <w:sz w:val="15"/>
        <w:szCs w:val="15"/>
      </w:rPr>
      <w:tab/>
    </w:r>
    <w:r>
      <w:rPr>
        <w:color w:val="595959"/>
        <w:sz w:val="15"/>
        <w:szCs w:val="15"/>
      </w:rPr>
      <w:t xml:space="preserve">Página </w:t>
    </w:r>
    <w:r>
      <w:rPr>
        <w:color w:val="595959"/>
        <w:sz w:val="15"/>
        <w:szCs w:val="15"/>
      </w:rPr>
      <w:fldChar w:fldCharType="begin"/>
    </w:r>
    <w:r>
      <w:rPr>
        <w:color w:val="595959"/>
        <w:sz w:val="15"/>
        <w:szCs w:val="15"/>
      </w:rPr>
      <w:instrText>PAGE</w:instrText>
    </w:r>
    <w:r>
      <w:rPr>
        <w:color w:val="595959"/>
        <w:sz w:val="15"/>
        <w:szCs w:val="15"/>
      </w:rPr>
      <w:fldChar w:fldCharType="separate"/>
    </w:r>
    <w:r w:rsidR="009B3089">
      <w:rPr>
        <w:noProof/>
        <w:color w:val="595959"/>
        <w:sz w:val="15"/>
        <w:szCs w:val="15"/>
      </w:rPr>
      <w:t>1</w:t>
    </w:r>
    <w:r>
      <w:rPr>
        <w:color w:val="595959"/>
        <w:sz w:val="15"/>
        <w:szCs w:val="15"/>
      </w:rPr>
      <w:fldChar w:fldCharType="end"/>
    </w:r>
    <w:r>
      <w:rPr>
        <w:color w:val="595959"/>
        <w:sz w:val="15"/>
        <w:szCs w:val="15"/>
      </w:rPr>
      <w:t xml:space="preserve"> de </w:t>
    </w:r>
    <w:r>
      <w:rPr>
        <w:color w:val="595959"/>
        <w:sz w:val="15"/>
        <w:szCs w:val="15"/>
      </w:rPr>
      <w:fldChar w:fldCharType="begin"/>
    </w:r>
    <w:r>
      <w:rPr>
        <w:color w:val="595959"/>
        <w:sz w:val="15"/>
        <w:szCs w:val="15"/>
      </w:rPr>
      <w:instrText>NUMPAGES</w:instrText>
    </w:r>
    <w:r>
      <w:rPr>
        <w:color w:val="595959"/>
        <w:sz w:val="15"/>
        <w:szCs w:val="15"/>
      </w:rPr>
      <w:fldChar w:fldCharType="separate"/>
    </w:r>
    <w:r w:rsidR="009B3089">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1C264" w14:textId="77777777" w:rsidR="00833892" w:rsidRDefault="00833892">
      <w:r>
        <w:separator/>
      </w:r>
    </w:p>
  </w:footnote>
  <w:footnote w:type="continuationSeparator" w:id="0">
    <w:p w14:paraId="55F47FF3" w14:textId="77777777" w:rsidR="00833892" w:rsidRDefault="00833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40DCA"/>
    <w:multiLevelType w:val="hybridMultilevel"/>
    <w:tmpl w:val="3CEC7DA0"/>
    <w:lvl w:ilvl="0" w:tplc="095C8746">
      <w:start w:val="1"/>
      <w:numFmt w:val="bullet"/>
      <w:lvlText w:val="–"/>
      <w:lvlJc w:val="left"/>
      <w:pPr>
        <w:ind w:left="400" w:hanging="400"/>
      </w:pPr>
    </w:lvl>
    <w:lvl w:ilvl="1" w:tplc="338E4414">
      <w:numFmt w:val="decimal"/>
      <w:lvlText w:val=""/>
      <w:lvlJc w:val="left"/>
    </w:lvl>
    <w:lvl w:ilvl="2" w:tplc="2CB807D2">
      <w:numFmt w:val="decimal"/>
      <w:lvlText w:val=""/>
      <w:lvlJc w:val="left"/>
    </w:lvl>
    <w:lvl w:ilvl="3" w:tplc="5A362E1A">
      <w:numFmt w:val="decimal"/>
      <w:lvlText w:val=""/>
      <w:lvlJc w:val="left"/>
    </w:lvl>
    <w:lvl w:ilvl="4" w:tplc="FAD2EFA2">
      <w:numFmt w:val="decimal"/>
      <w:lvlText w:val=""/>
      <w:lvlJc w:val="left"/>
    </w:lvl>
    <w:lvl w:ilvl="5" w:tplc="B3D6CEDE">
      <w:numFmt w:val="decimal"/>
      <w:lvlText w:val=""/>
      <w:lvlJc w:val="left"/>
    </w:lvl>
    <w:lvl w:ilvl="6" w:tplc="A7AACFA4">
      <w:numFmt w:val="decimal"/>
      <w:lvlText w:val=""/>
      <w:lvlJc w:val="left"/>
    </w:lvl>
    <w:lvl w:ilvl="7" w:tplc="7C3EDE56">
      <w:numFmt w:val="decimal"/>
      <w:lvlText w:val=""/>
      <w:lvlJc w:val="left"/>
    </w:lvl>
    <w:lvl w:ilvl="8" w:tplc="4D202032">
      <w:numFmt w:val="decimal"/>
      <w:lvlText w:val=""/>
      <w:lvlJc w:val="left"/>
    </w:lvl>
  </w:abstractNum>
  <w:abstractNum w:abstractNumId="1" w15:restartNumberingAfterBreak="0">
    <w:nsid w:val="6F377344"/>
    <w:multiLevelType w:val="hybridMultilevel"/>
    <w:tmpl w:val="69AE9EDE"/>
    <w:lvl w:ilvl="0" w:tplc="378E937A">
      <w:start w:val="1"/>
      <w:numFmt w:val="bullet"/>
      <w:lvlText w:val="●"/>
      <w:lvlJc w:val="left"/>
      <w:pPr>
        <w:ind w:left="720" w:hanging="360"/>
      </w:pPr>
    </w:lvl>
    <w:lvl w:ilvl="1" w:tplc="26BAF374">
      <w:start w:val="1"/>
      <w:numFmt w:val="bullet"/>
      <w:lvlText w:val="○"/>
      <w:lvlJc w:val="left"/>
      <w:pPr>
        <w:ind w:left="1440" w:hanging="360"/>
      </w:pPr>
    </w:lvl>
    <w:lvl w:ilvl="2" w:tplc="6866A858">
      <w:start w:val="1"/>
      <w:numFmt w:val="bullet"/>
      <w:lvlText w:val="■"/>
      <w:lvlJc w:val="left"/>
      <w:pPr>
        <w:ind w:left="2160" w:hanging="360"/>
      </w:pPr>
    </w:lvl>
    <w:lvl w:ilvl="3" w:tplc="A5E6E976">
      <w:start w:val="1"/>
      <w:numFmt w:val="bullet"/>
      <w:lvlText w:val="●"/>
      <w:lvlJc w:val="left"/>
      <w:pPr>
        <w:ind w:left="2880" w:hanging="360"/>
      </w:pPr>
    </w:lvl>
    <w:lvl w:ilvl="4" w:tplc="04241F3E">
      <w:start w:val="1"/>
      <w:numFmt w:val="bullet"/>
      <w:lvlText w:val="○"/>
      <w:lvlJc w:val="left"/>
      <w:pPr>
        <w:ind w:left="3600" w:hanging="360"/>
      </w:pPr>
    </w:lvl>
    <w:lvl w:ilvl="5" w:tplc="EAE042F4">
      <w:start w:val="1"/>
      <w:numFmt w:val="bullet"/>
      <w:lvlText w:val="■"/>
      <w:lvlJc w:val="left"/>
      <w:pPr>
        <w:ind w:left="4320" w:hanging="360"/>
      </w:pPr>
    </w:lvl>
    <w:lvl w:ilvl="6" w:tplc="F604B6BC">
      <w:start w:val="1"/>
      <w:numFmt w:val="bullet"/>
      <w:lvlText w:val="●"/>
      <w:lvlJc w:val="left"/>
      <w:pPr>
        <w:ind w:left="5040" w:hanging="360"/>
      </w:pPr>
    </w:lvl>
    <w:lvl w:ilvl="7" w:tplc="CA6AB9A2">
      <w:start w:val="1"/>
      <w:numFmt w:val="bullet"/>
      <w:lvlText w:val="●"/>
      <w:lvlJc w:val="left"/>
      <w:pPr>
        <w:ind w:left="5760" w:hanging="360"/>
      </w:pPr>
    </w:lvl>
    <w:lvl w:ilvl="8" w:tplc="2DE287BA">
      <w:start w:val="1"/>
      <w:numFmt w:val="bullet"/>
      <w:lvlText w:val="●"/>
      <w:lvlJc w:val="left"/>
      <w:pPr>
        <w:ind w:left="6480" w:hanging="360"/>
      </w:pPr>
    </w:lvl>
  </w:abstractNum>
  <w:abstractNum w:abstractNumId="2" w15:restartNumberingAfterBreak="0">
    <w:nsid w:val="705B2EE2"/>
    <w:multiLevelType w:val="hybridMultilevel"/>
    <w:tmpl w:val="B94E8D76"/>
    <w:lvl w:ilvl="0" w:tplc="76866988">
      <w:start w:val="1"/>
      <w:numFmt w:val="lowerLetter"/>
      <w:lvlText w:val="%1)"/>
      <w:lvlJc w:val="left"/>
      <w:pPr>
        <w:ind w:left="400" w:hanging="400"/>
      </w:pPr>
    </w:lvl>
    <w:lvl w:ilvl="1" w:tplc="1C5AF478">
      <w:numFmt w:val="decimal"/>
      <w:lvlText w:val=""/>
      <w:lvlJc w:val="left"/>
    </w:lvl>
    <w:lvl w:ilvl="2" w:tplc="5192AD94">
      <w:numFmt w:val="decimal"/>
      <w:lvlText w:val=""/>
      <w:lvlJc w:val="left"/>
    </w:lvl>
    <w:lvl w:ilvl="3" w:tplc="8D5A5522">
      <w:numFmt w:val="decimal"/>
      <w:lvlText w:val=""/>
      <w:lvlJc w:val="left"/>
    </w:lvl>
    <w:lvl w:ilvl="4" w:tplc="759A3982">
      <w:numFmt w:val="decimal"/>
      <w:lvlText w:val=""/>
      <w:lvlJc w:val="left"/>
    </w:lvl>
    <w:lvl w:ilvl="5" w:tplc="B630BCA8">
      <w:numFmt w:val="decimal"/>
      <w:lvlText w:val=""/>
      <w:lvlJc w:val="left"/>
    </w:lvl>
    <w:lvl w:ilvl="6" w:tplc="2BB4EE38">
      <w:numFmt w:val="decimal"/>
      <w:lvlText w:val=""/>
      <w:lvlJc w:val="left"/>
    </w:lvl>
    <w:lvl w:ilvl="7" w:tplc="5F5E0E32">
      <w:numFmt w:val="decimal"/>
      <w:lvlText w:val=""/>
      <w:lvlJc w:val="left"/>
    </w:lvl>
    <w:lvl w:ilvl="8" w:tplc="CF6AA40A">
      <w:numFmt w:val="decimal"/>
      <w:lvlText w:val=""/>
      <w:lvlJc w:val="left"/>
    </w:lvl>
  </w:abstractNum>
  <w:num w:numId="1" w16cid:durableId="903300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BE8"/>
    <w:rsid w:val="00833892"/>
    <w:rsid w:val="009B3089"/>
    <w:rsid w:val="00AB0BE8"/>
    <w:rsid w:val="00AF1B3A"/>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55AE5"/>
  <w15:docId w15:val="{38A15D83-30F2-4D4C-A57D-C6AADD5C9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371</Words>
  <Characters>2046</Characters>
  <Application>Microsoft Office Word</Application>
  <DocSecurity>0</DocSecurity>
  <Lines>17</Lines>
  <Paragraphs>4</Paragraphs>
  <ScaleCrop>false</ScaleCrop>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BUITRAGO BOLIVAR</cp:lastModifiedBy>
  <cp:revision>2</cp:revision>
  <dcterms:created xsi:type="dcterms:W3CDTF">2026-09-14T02:04:00Z</dcterms:created>
  <dcterms:modified xsi:type="dcterms:W3CDTF">2026-09-14T11:56:00Z</dcterms:modified>
</cp:coreProperties>
</file>