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CacheFlow live fixture</w:t>
      </w:r>
    </w:p>
    <w:sectPr>
      <w:pgSz w:w="12240" w:h="15840"/>
      <w:pgMar w:top="1440" w:right="1440" w:bottom="1440" w:left="1440" w:header="708" w:footer="708" w:gutter="0"/>
    </w:sectPr>
  </w:body>
</w:document>
</file>