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</w:t>
      </w:r>
    </w:p>
    <w:p>
      <w:r/>
      <w:r>
        <w:rPr>
          <w:b/>
        </w:rPr>
        <w:t>Site institucional e agente de inteligência artificial — Clínica Bacani Coura</w:t>
      </w:r>
      <w:r/>
    </w:p>
    <w:p>
      <w:r>
        <w:t>Pelo presente instrumento particular, as partes abaixo qualificadas celebram o presente Contrato de Prestação de Serviços, que se regerá pelas cláusulas e condições a seguir e pelos Anexos A, B e C.</w:t>
      </w:r>
    </w:p>
    <w:p>
      <w:pPr>
        <w:pStyle w:val="Heading1"/>
      </w:pPr>
      <w:r>
        <w:t>CLÁUSULA 1 — DAS PARTES</w:t>
      </w:r>
    </w:p>
    <w:p>
      <w:r/>
      <w:r>
        <w:rPr>
          <w:b/>
        </w:rPr>
        <w:t>CONTRATANTE:</w:t>
      </w:r>
      <w:r>
        <w:t xml:space="preserve"> </w:t>
      </w:r>
      <w:r>
        <w:rPr>
          <w:b/>
        </w:rPr>
        <w:t>LBMC SERVIÇOS MÉDICOS LTDA</w:t>
      </w:r>
      <w:r>
        <w:t xml:space="preserve">, pessoa jurídica de direito privado, inscrita no CNPJ sob o nº 58.890.466/0001-90, com sede na Avenida São Francisco de Assis, nº 660, Pavimento 7, Sala 706, Bairro Jundiaí, Anápolis — GO, CEP 75.110-810, neste ato representada por </w:t>
      </w:r>
      <w:r>
        <w:rPr>
          <w:b/>
        </w:rPr>
        <w:t>Lucas Bacani de Moraes Coura</w:t>
      </w:r>
      <w:r>
        <w:t xml:space="preserve">, médico, inscrito no CRM/GO sob o nº 35.981, na qualidade de representante legal, doravante denominada simplesmente </w:t>
      </w:r>
      <w:r>
        <w:rPr>
          <w:b/>
        </w:rPr>
        <w:t>CONTRATANTE</w:t>
      </w:r>
      <w:r>
        <w:t xml:space="preserve">, que utiliza a marca </w:t>
      </w:r>
      <w:r>
        <w:rPr>
          <w:b/>
        </w:rPr>
        <w:t>Bacani Coura</w:t>
      </w:r>
      <w:r>
        <w:t xml:space="preserve"> (“Clínica Bacani Coura”) para suas atividades.</w:t>
      </w:r>
    </w:p>
    <w:p>
      <w:r/>
      <w:r>
        <w:rPr>
          <w:b/>
        </w:rPr>
        <w:t>PRESTADOR:</w:t>
      </w:r>
      <w:r>
        <w:t xml:space="preserve"> </w:t>
      </w:r>
      <w:r>
        <w:rPr>
          <w:b/>
        </w:rPr>
        <w:t>Messias de Sousa Amorim Neto</w:t>
      </w:r>
      <w:r>
        <w:t xml:space="preserve">, brasileiro, inscrito no CPF sob o nº 053.467.671-50, residente e domiciliado na Rua RC-09, Quadra 10, Lote 23A, Bairro Residencial Cerejeiras II, Anápolis — GO, CEP 75.097-172, telefone e WhatsApp (62) 98137-8716, e-mail netomessias74@gmail.com, doravante denominado simplesmente </w:t>
      </w:r>
      <w:r>
        <w:rPr>
          <w:b/>
        </w:rPr>
        <w:t>PRESTADOR</w:t>
      </w:r>
      <w:r>
        <w:t>.</w:t>
      </w:r>
    </w:p>
    <w:p>
      <w:pPr>
        <w:pStyle w:val="Heading1"/>
      </w:pPr>
      <w:r>
        <w:t>CLÁUSULA 2 — DO OBJETO</w:t>
      </w:r>
    </w:p>
    <w:p>
      <w:pPr>
        <w:pStyle w:val="ListNumber"/>
      </w:pPr>
      <w:r>
        <w:t xml:space="preserve">2.1. O presente contrato tem por objeto a prestação de serviços de </w:t>
      </w:r>
      <w:r>
        <w:rPr>
          <w:b/>
        </w:rPr>
        <w:t>projeto, design, desenvolvimento, configuração e publicação</w:t>
      </w:r>
      <w:r>
        <w:t xml:space="preserve"> do site institucional da Clínica Bacani Coura e do </w:t>
      </w:r>
      <w:r>
        <w:rPr>
          <w:b/>
        </w:rPr>
        <w:t>agente de inteligência artificial de pré-atendimento (anamnese)</w:t>
      </w:r>
      <w:r>
        <w:t xml:space="preserve">, conforme o escopo da </w:t>
      </w:r>
      <w:r>
        <w:rPr>
          <w:b/>
        </w:rPr>
        <w:t>Fase 1</w:t>
      </w:r>
      <w:r>
        <w:t xml:space="preserve"> descrito no </w:t>
      </w:r>
      <w:r>
        <w:rPr>
          <w:b/>
        </w:rPr>
        <w:t>Anexo A</w:t>
      </w:r>
      <w:r>
        <w:t xml:space="preserve"> e na </w:t>
      </w:r>
      <w:r>
        <w:rPr>
          <w:b/>
        </w:rPr>
        <w:t>Proposta Comercial</w:t>
      </w:r>
      <w:r>
        <w:t xml:space="preserve"> constante do </w:t>
      </w:r>
      <w:r>
        <w:rPr>
          <w:b/>
        </w:rPr>
        <w:t>Anexo C</w:t>
      </w:r>
      <w:r>
        <w:t>, parte integrante deste instrumento para todos os fins.</w:t>
      </w:r>
    </w:p>
    <w:p>
      <w:pPr>
        <w:pStyle w:val="ListNumber"/>
      </w:pPr>
      <w:r>
        <w:t>2.2. Os serviços observarão as boas práticas de proteção de dados pessoais, em especial dados de saúde (LGPD — Lei nº 13.709/2018), e o alinhamento dos textos e do uso do agente de IA às Resoluções CFM nº 2.336/2023 (publicidade médica) e nº 2.454/2026 (inteligência artificial), na medida aplicável ao escopo contratado.</w:t>
      </w:r>
    </w:p>
    <w:p>
      <w:pPr>
        <w:pStyle w:val="ListNumber"/>
      </w:pPr>
      <w:r>
        <w:t xml:space="preserve">2.3. O agente de IA tem caráter de </w:t>
      </w:r>
      <w:r>
        <w:rPr>
          <w:b/>
        </w:rPr>
        <w:t>pré-atendimento</w:t>
      </w:r>
      <w:r>
        <w:t xml:space="preserve"> e </w:t>
      </w:r>
      <w:r>
        <w:rPr>
          <w:b/>
        </w:rPr>
        <w:t>não substitui</w:t>
      </w:r>
      <w:r>
        <w:t xml:space="preserve"> consulta, diagnóstico ou conduta médica; o paciente será informado de que interage com sistema automatizado.</w:t>
      </w:r>
    </w:p>
    <w:p>
      <w:pPr>
        <w:pStyle w:val="Heading1"/>
      </w:pPr>
      <w:r>
        <w:t>CLÁUSULA 3 — DO ESCOPO E ENTREGAS</w:t>
      </w:r>
    </w:p>
    <w:p>
      <w:pPr>
        <w:pStyle w:val="ListNumber"/>
      </w:pPr>
      <w:r>
        <w:t xml:space="preserve">3.1. Integram o escopo contratado, pelo preço da Cláusula 7, os itens do </w:t>
      </w:r>
      <w:r>
        <w:rPr>
          <w:b/>
        </w:rPr>
        <w:t>Anexo A</w:t>
      </w:r>
      <w:r>
        <w:t>.</w:t>
      </w:r>
    </w:p>
    <w:p>
      <w:pPr>
        <w:pStyle w:val="ListNumber"/>
      </w:pPr>
      <w:r>
        <w:t xml:space="preserve">3.2. Estão </w:t>
      </w:r>
      <w:r>
        <w:rPr>
          <w:b/>
        </w:rPr>
        <w:t>expressamente excluídos</w:t>
      </w:r>
      <w:r>
        <w:t xml:space="preserve"> do valor da implantação: área do paciente com login; integração com prontuário eletrônico; agente de pré-atendimento no WhatsApp; produção de fotos e vídeos; redação de artigos para o blog; desenvolvimentos das Fases 2 e 3 (a serem orçados à parte, se desejados); </w:t>
      </w:r>
      <w:r>
        <w:rPr>
          <w:b/>
        </w:rPr>
        <w:t>mensalidade</w:t>
      </w:r>
      <w:r>
        <w:t xml:space="preserve">, plano de manutenção ou suporte contínuo; e quaisquer serviços após o </w:t>
      </w:r>
      <w:r>
        <w:rPr>
          <w:b/>
        </w:rPr>
        <w:t>Aceite Final</w:t>
      </w:r>
      <w:r>
        <w:t xml:space="preserve"> previsto na Cláusula 8, salvo o disposto na Cláusula 12 (garantia limitada).</w:t>
      </w:r>
    </w:p>
    <w:p>
      <w:pPr>
        <w:pStyle w:val="ListNumber"/>
      </w:pPr>
      <w:r>
        <w:t xml:space="preserve">3.3. O </w:t>
      </w:r>
      <w:r>
        <w:rPr>
          <w:b/>
        </w:rPr>
        <w:t>custo de uso da API de inteligência artificial (Anthropic)</w:t>
      </w:r>
      <w:r>
        <w:t xml:space="preserve"> utilizada pelo agente de anamnese será </w:t>
      </w:r>
      <w:r>
        <w:rPr>
          <w:b/>
        </w:rPr>
        <w:t>pago diretamente pela CONTRATANTE</w:t>
      </w:r>
      <w:r>
        <w:t>, à parte do valor da implantação, conforme Anexo C.</w:t>
      </w:r>
    </w:p>
    <w:p>
      <w:pPr>
        <w:pStyle w:val="ListNumber"/>
      </w:pPr>
      <w:r>
        <w:t xml:space="preserve">3.4. Despesas com </w:t>
      </w:r>
      <w:r>
        <w:rPr>
          <w:b/>
        </w:rPr>
        <w:t>domínio, hospedagem, ferramentas de terceiros e demais custos de operação</w:t>
      </w:r>
      <w:r>
        <w:t xml:space="preserve"> do site após a publicação, quando não cobertos expressamente pela implantação, são de responsabilidade da CONTRATANTE, podendo o PRESTADOR auxiliar na contratação ou configuração mediante acordo posterior.</w:t>
      </w:r>
    </w:p>
    <w:p>
      <w:pPr>
        <w:pStyle w:val="Heading1"/>
      </w:pPr>
      <w:r>
        <w:t>CLÁUSULA 4 — DAS OBRIGAÇÕES DO PRESTADOR</w:t>
      </w:r>
    </w:p>
    <w:p>
      <w:pPr>
        <w:pStyle w:val="ListNumber"/>
      </w:pPr>
      <w:r>
        <w:t>4.1. Executar os serviços com diligência e de acordo com o Anexo A e a Proposta do Anexo C.</w:t>
      </w:r>
    </w:p>
    <w:p>
      <w:pPr>
        <w:pStyle w:val="ListNumber"/>
      </w:pPr>
      <w:r>
        <w:t>4.2. Manter sigilo sobre informações e dados da CONTRATANTE e de pacientes a que tiver acesso em razão deste contrato.</w:t>
      </w:r>
    </w:p>
    <w:p>
      <w:pPr>
        <w:pStyle w:val="ListNumber"/>
      </w:pPr>
      <w:r>
        <w:t>4.3. Implementar medidas técnicas razoáveis de segurança para o tratamento de dados no âmbito do projeto (incluindo criptografia em trânsito quando aplicável e controle de acesso às informações de pré-consulta).</w:t>
      </w:r>
    </w:p>
    <w:p>
      <w:pPr>
        <w:pStyle w:val="ListNumber"/>
      </w:pPr>
      <w:r>
        <w:t>4.4. Submeter o roteiro de anamnese do agente à revisão e aprovação do médico responsável indicado pela CONTRATANTE.</w:t>
      </w:r>
    </w:p>
    <w:p>
      <w:pPr>
        <w:pStyle w:val="ListNumber"/>
      </w:pPr>
      <w:r>
        <w:t>4.5. Realizar briefing e alinhamentos necessários ao andamento do projeto.</w:t>
      </w:r>
    </w:p>
    <w:p>
      <w:pPr>
        <w:pStyle w:val="Heading1"/>
      </w:pPr>
      <w:r>
        <w:t>CLÁUSULA 5 — DAS OBRIGAÇÕES DA CONTRATANTE</w:t>
      </w:r>
    </w:p>
    <w:p>
      <w:pPr>
        <w:pStyle w:val="ListNumber"/>
      </w:pPr>
      <w:r>
        <w:t>5.1. Fornecer, em tempo hábil, as informações, textos, listas de serviços, diferenciais, público prioritário e demais insumos necessários ao desenvolvimento.</w:t>
      </w:r>
    </w:p>
    <w:p>
      <w:pPr>
        <w:pStyle w:val="ListNumber"/>
      </w:pPr>
      <w:r>
        <w:t>5.2. Encaminhar dados da equipe (fotos, formação, CRM e RQE de cada profissional) e fotos ou vídeos da estrutura, ou contratar fotógrafo à parte, por sua conta.</w:t>
      </w:r>
    </w:p>
    <w:p>
      <w:pPr>
        <w:pStyle w:val="ListNumber"/>
      </w:pPr>
      <w:r>
        <w:t xml:space="preserve">5.3. Designar médico responsável — </w:t>
      </w:r>
      <w:r>
        <w:rPr>
          <w:b/>
        </w:rPr>
        <w:t>Lucas Bacani de Moraes Coura, CRM/GO 35.981</w:t>
      </w:r>
      <w:r>
        <w:t>, ou outro indicado por escrito — para revisar e aprovar o roteiro de anamnese do agente.</w:t>
      </w:r>
    </w:p>
    <w:p>
      <w:pPr>
        <w:pStyle w:val="ListNumber"/>
      </w:pPr>
      <w:r>
        <w:t>5.4. Conceder acessos à ferramenta de agenda da clínica e ao Google Meu Negócio, quando necessários à integração e ao SEO local.</w:t>
      </w:r>
    </w:p>
    <w:p>
      <w:pPr>
        <w:pStyle w:val="ListNumber"/>
      </w:pPr>
      <w:r>
        <w:t>5.5. Efetuar o custeio do uso da API Anthropic do agente de anamnese.</w:t>
      </w:r>
    </w:p>
    <w:p>
      <w:pPr>
        <w:pStyle w:val="ListNumber"/>
      </w:pPr>
      <w:r>
        <w:t xml:space="preserve">5.6. Responder às solicitações de aprovação (design, roteiro do agente e versão final) em até </w:t>
      </w:r>
      <w:r>
        <w:rPr>
          <w:b/>
        </w:rPr>
        <w:t>3 (três) dias úteis</w:t>
      </w:r>
      <w:r>
        <w:t>, salvo justificativa comunicada ao PRESTADOR, a fim de preservar o prazo estimado da Cláusula 11.</w:t>
      </w:r>
    </w:p>
    <w:p>
      <w:pPr>
        <w:pStyle w:val="ListNumber"/>
      </w:pPr>
      <w:r>
        <w:t>5.7. Efetuar os pagamentos na forma da Cláusula 7.</w:t>
      </w:r>
    </w:p>
    <w:p>
      <w:pPr>
        <w:pStyle w:val="Heading1"/>
      </w:pPr>
      <w:r>
        <w:t>CLÁUSULA 6 — DOS SERVIÇOS APÓS A VALIDAÇÃO</w:t>
      </w:r>
    </w:p>
    <w:p>
      <w:pPr>
        <w:pStyle w:val="ListNumber"/>
      </w:pPr>
      <w:r>
        <w:t xml:space="preserve">6.1. O valor total de </w:t>
      </w:r>
      <w:r>
        <w:rPr>
          <w:b/>
        </w:rPr>
        <w:t>R$ 1.400,00</w:t>
      </w:r>
      <w:r>
        <w:t xml:space="preserve"> (mil e quatrocentos reais) refere-se </w:t>
      </w:r>
      <w:r>
        <w:rPr>
          <w:b/>
        </w:rPr>
        <w:t>exclusivamente</w:t>
      </w:r>
      <w:r>
        <w:t xml:space="preserve"> à implantação da Fase 1 até o </w:t>
      </w:r>
      <w:r>
        <w:rPr>
          <w:b/>
        </w:rPr>
        <w:t>Aceite Final</w:t>
      </w:r>
      <w:r>
        <w:t xml:space="preserve"> de que trata a Cláusula 8.</w:t>
      </w:r>
    </w:p>
    <w:p>
      <w:pPr>
        <w:pStyle w:val="ListNumber"/>
      </w:pPr>
      <w:r>
        <w:t xml:space="preserve">6.2. </w:t>
      </w:r>
      <w:r>
        <w:rPr>
          <w:b/>
        </w:rPr>
        <w:t>Não está incluída</w:t>
      </w:r>
      <w:r>
        <w:t xml:space="preserve"> mensalidade, manutenção periódica, suporte contínuo ou relatórios recorrentes.</w:t>
      </w:r>
    </w:p>
    <w:p>
      <w:pPr>
        <w:pStyle w:val="ListNumber"/>
      </w:pPr>
      <w:r>
        <w:t xml:space="preserve">6.3. Após o Aceite Final, </w:t>
      </w:r>
      <w:r>
        <w:rPr>
          <w:b/>
        </w:rPr>
        <w:t>todo e qualquer</w:t>
      </w:r>
      <w:r>
        <w:t xml:space="preserve"> serviço adicional — inclusive manutenção, ajustes de conteúdo ou layout, alterações no agente de IA, novas funcionalidades, integrações, horas técnicas ou gestão de infraestrutura — será </w:t>
      </w:r>
      <w:r>
        <w:rPr>
          <w:b/>
        </w:rPr>
        <w:t>objeto de orçamento prévio</w:t>
      </w:r>
      <w:r>
        <w:t xml:space="preserve"> e </w:t>
      </w:r>
      <w:r>
        <w:rPr>
          <w:b/>
        </w:rPr>
        <w:t>somente será executado</w:t>
      </w:r>
      <w:r>
        <w:t xml:space="preserve"> após </w:t>
      </w:r>
      <w:r>
        <w:rPr>
          <w:b/>
        </w:rPr>
        <w:t>autorização expressa</w:t>
      </w:r>
      <w:r>
        <w:t xml:space="preserve"> da CONTRATANTE por e-mail ou WhatsApp.</w:t>
      </w:r>
    </w:p>
    <w:p>
      <w:pPr>
        <w:pStyle w:val="Heading1"/>
      </w:pPr>
      <w:r>
        <w:t>CLÁUSULA 7 — DO PREÇO E DA FORMA DE PAGAMENTO</w:t>
      </w:r>
    </w:p>
    <w:p>
      <w:pPr>
        <w:pStyle w:val="ListNumber"/>
      </w:pPr>
      <w:r>
        <w:t xml:space="preserve">7.1. Pela implantação descrita neste contrato, a CONTRATANTE pagará ao PRESTADOR o valor total de </w:t>
      </w:r>
      <w:r>
        <w:rPr>
          <w:b/>
        </w:rPr>
        <w:t>R$ 1.400,00</w:t>
      </w:r>
      <w:r>
        <w:t xml:space="preserve"> (mil e quatrocentos reais), em </w:t>
      </w:r>
      <w:r>
        <w:rPr>
          <w:b/>
        </w:rPr>
        <w:t>5 (cinco) parcelas</w:t>
      </w:r>
      <w:r>
        <w:t xml:space="preserve"> de </w:t>
      </w:r>
      <w:r>
        <w:rPr>
          <w:b/>
        </w:rPr>
        <w:t>R$ 280,00</w:t>
      </w:r>
      <w:r>
        <w:t xml:space="preserve"> (duzentos e oitenta reais), conforme </w:t>
      </w:r>
      <w:r>
        <w:rPr>
          <w:b/>
        </w:rPr>
        <w:t>Anexo B</w:t>
      </w:r>
      <w:r>
        <w:t>.</w:t>
      </w:r>
    </w:p>
    <w:p>
      <w:pPr>
        <w:pStyle w:val="ListNumber"/>
      </w:pPr>
      <w:r>
        <w:t xml:space="preserve">7.2. Os pagamentos serão realizados por </w:t>
      </w:r>
      <w:r>
        <w:rPr>
          <w:b/>
        </w:rPr>
        <w:t>PIX</w:t>
      </w:r>
      <w:r>
        <w:t xml:space="preserve"> na chave telefônica </w:t>
      </w:r>
      <w:r>
        <w:rPr>
          <w:b/>
        </w:rPr>
        <w:t>(62) 98137-8716</w:t>
      </w:r>
      <w:r>
        <w:t>, titular Messias de Sousa Amorim Neto, ou outro meio acordado por escrito entre as partes.</w:t>
      </w:r>
    </w:p>
    <w:p>
      <w:pPr>
        <w:pStyle w:val="ListNumber"/>
      </w:pPr>
      <w:r>
        <w:t>7.3. O atraso no pagamento de qualquer parcela sujeitará a CONTRATANTE a:</w:t>
      </w:r>
    </w:p>
    <w:p>
      <w:pPr>
        <w:pStyle w:val="ListBullet"/>
      </w:pPr>
      <w:r>
        <w:t xml:space="preserve">(a) multa moratória de </w:t>
      </w:r>
      <w:r>
        <w:rPr>
          <w:b/>
        </w:rPr>
        <w:t>10% (dez por cento)</w:t>
      </w:r>
      <w:r>
        <w:t xml:space="preserve"> sobre o valor em atraso;</w:t>
      </w:r>
    </w:p>
    <w:p>
      <w:pPr>
        <w:pStyle w:val="ListBullet"/>
      </w:pPr>
      <w:r>
        <w:t xml:space="preserve">(b) juros de mora de </w:t>
      </w:r>
      <w:r>
        <w:rPr>
          <w:b/>
        </w:rPr>
        <w:t>2% (dois por cento) ao mês</w:t>
      </w:r>
      <w:r>
        <w:t>, calculados pro rata die;</w:t>
      </w:r>
    </w:p>
    <w:p>
      <w:pPr>
        <w:pStyle w:val="ListBullet"/>
      </w:pPr>
      <w:r>
        <w:t xml:space="preserve">(c) correção monetária pelo </w:t>
      </w:r>
      <w:r>
        <w:rPr>
          <w:b/>
        </w:rPr>
        <w:t>IPCA/IBGE</w:t>
      </w:r>
      <w:r>
        <w:t xml:space="preserve"> (ou índice oficial que o substitua), acumulada desde o vencimento até o pagamento integral;</w:t>
      </w:r>
    </w:p>
    <w:p>
      <w:pPr>
        <w:pStyle w:val="ListBullet"/>
      </w:pPr>
      <w:r>
        <w:t xml:space="preserve">(d) possibilidade de </w:t>
      </w:r>
      <w:r>
        <w:rPr>
          <w:b/>
        </w:rPr>
        <w:t>suspensão dos serviços</w:t>
      </w:r>
      <w:r>
        <w:t xml:space="preserve"> pelo PRESTADOR após </w:t>
      </w:r>
      <w:r>
        <w:rPr>
          <w:b/>
        </w:rPr>
        <w:t>10 (dez) dias</w:t>
      </w:r>
      <w:r>
        <w:t xml:space="preserve"> de inadimplência, mediante comunicação prévia, sem prejuízo das demais medidas cabíveis;</w:t>
      </w:r>
    </w:p>
    <w:p>
      <w:pPr>
        <w:pStyle w:val="ListBullet"/>
      </w:pPr>
      <w:r>
        <w:t xml:space="preserve">(e) em razão do inadimplemento, </w:t>
      </w:r>
      <w:r>
        <w:rPr>
          <w:b/>
        </w:rPr>
        <w:t>todos os honorários advocatícios, custas, emolumentos e demais despesas</w:t>
      </w:r>
      <w:r>
        <w:t xml:space="preserve"> de cobrança judicial ou extrajudicial serão suportados </w:t>
      </w:r>
      <w:r>
        <w:rPr>
          <w:b/>
        </w:rPr>
        <w:t>integral e exclusivamente pela CONTRATANTE</w:t>
      </w:r>
      <w:r>
        <w:t xml:space="preserve">, incluindo honorários contratuais do advogado do PRESTADOR no montante mínimo de </w:t>
      </w:r>
      <w:r>
        <w:rPr>
          <w:b/>
        </w:rPr>
        <w:t>10% (dez por cento)</w:t>
      </w:r>
      <w:r>
        <w:t xml:space="preserve"> sobre o valor atualizado do débito, </w:t>
      </w:r>
      <w:r>
        <w:rPr>
          <w:b/>
        </w:rPr>
        <w:t>sem prejuízo</w:t>
      </w:r>
      <w:r>
        <w:t xml:space="preserve"> dos honorários de sucumbência e demais verbas que vierem a ser fixadas em favor do PRESTADOR.</w:t>
      </w:r>
    </w:p>
    <w:p>
      <w:pPr>
        <w:pStyle w:val="ListNumber"/>
      </w:pPr>
      <w:r>
        <w:t>7.4. A quitação integral das parcelas é condição para os efeitos da Cláusula 9, na forma ali prevista.</w:t>
      </w:r>
    </w:p>
    <w:p>
      <w:pPr>
        <w:pStyle w:val="Heading1"/>
      </w:pPr>
      <w:r>
        <w:t>CLÁUSULA 8 — DO ACEITE E DA VALIDAÇÃO</w:t>
      </w:r>
    </w:p>
    <w:p>
      <w:pPr>
        <w:pStyle w:val="ListNumber"/>
      </w:pPr>
      <w:r>
        <w:t xml:space="preserve">8.1. Considera-se </w:t>
      </w:r>
      <w:r>
        <w:rPr>
          <w:b/>
        </w:rPr>
        <w:t>Aceite Final</w:t>
      </w:r>
      <w:r>
        <w:t xml:space="preserve"> a aprovação </w:t>
      </w:r>
      <w:r>
        <w:rPr>
          <w:b/>
        </w:rPr>
        <w:t>expressa</w:t>
      </w:r>
      <w:r>
        <w:t xml:space="preserve"> da CONTRATANTE, por e-mail, WhatsApp ou assinatura em termo de aceite, da versão do site e do agente publicados ou disponibilizados para validação, após as rodadas de ajustes previstas no Anexo A.</w:t>
      </w:r>
    </w:p>
    <w:p>
      <w:pPr>
        <w:pStyle w:val="ListNumber"/>
      </w:pPr>
      <w:r>
        <w:t xml:space="preserve">8.2. O Aceite Final marca a </w:t>
      </w:r>
      <w:r>
        <w:rPr>
          <w:b/>
        </w:rPr>
        <w:t>conclusão da implantação</w:t>
      </w:r>
      <w:r>
        <w:t xml:space="preserve"> contratada e o início da vigência das regras da Cláusula 6 (serviços posteriores cobrados à parte).</w:t>
      </w:r>
    </w:p>
    <w:p>
      <w:pPr>
        <w:pStyle w:val="ListNumber"/>
      </w:pPr>
      <w:r>
        <w:t>8.3. A CONTRATANTE compromete-se a testar e manifestar pendências de forma objetiva dentro das rodadas de ajuste contratadas; solicitações que alterem o escopo do Anexo A poderão ser tratadas como serviços adicionais.</w:t>
      </w:r>
    </w:p>
    <w:p>
      <w:pPr>
        <w:pStyle w:val="Heading1"/>
      </w:pPr>
      <w:r>
        <w:t>CLÁUSULA 9 — DA PROPRIEDADE INTELECTUAL E DOS ACESSOS</w:t>
      </w:r>
    </w:p>
    <w:p>
      <w:pPr>
        <w:pStyle w:val="ListNumber"/>
      </w:pPr>
      <w:r>
        <w:t xml:space="preserve">9.1. Quitadas todas as parcelas da Cláusula 7, o PRESTADOR cede à CONTRATANTE os direitos patrimoniais sobre o </w:t>
      </w:r>
      <w:r>
        <w:rPr>
          <w:b/>
        </w:rPr>
        <w:t>código-fonte, layouts e materiais gráficos</w:t>
      </w:r>
      <w:r>
        <w:t xml:space="preserve"> desenvolvidos </w:t>
      </w:r>
      <w:r>
        <w:rPr>
          <w:b/>
        </w:rPr>
        <w:t>especificamente</w:t>
      </w:r>
      <w:r>
        <w:t xml:space="preserve"> para este projeto, exceto bibliotecas, frameworks e componentes de terceiros, que permanecem sob suas respectivas licenças.</w:t>
      </w:r>
    </w:p>
    <w:p>
      <w:pPr>
        <w:pStyle w:val="ListNumber"/>
      </w:pPr>
      <w:r>
        <w:t>9.2. Contas de domínio, hospedagem, Google Meu Negócio e demais cadastros devem preferencialmente permanecer em nome da CONTRATANTE, com credenciais sob sua guarda.</w:t>
      </w:r>
    </w:p>
    <w:p>
      <w:pPr>
        <w:pStyle w:val="ListNumber"/>
      </w:pPr>
      <w:r>
        <w:t>9.3. Em caso de rescisão por inadimplência da CONTRATANTE antes da quitação, o PRESTADOR poderá suspender o uso e a entrega de artefatos até a regularização, respeitados os pagamentos devidos pelos serviços já executados.</w:t>
      </w:r>
    </w:p>
    <w:p>
      <w:pPr>
        <w:pStyle w:val="Heading1"/>
      </w:pPr>
      <w:r>
        <w:t>CLÁUSULA 10 — DA PROTEÇÃO DE DADOS (LGPD)</w:t>
      </w:r>
    </w:p>
    <w:p>
      <w:pPr>
        <w:pStyle w:val="ListNumber"/>
      </w:pPr>
      <w:r>
        <w:t xml:space="preserve">10.1. Para os dados pessoais, inclusive sensíveis (saúde), tratados no âmbito do site e do agente de pré-consulta, a </w:t>
      </w:r>
      <w:r>
        <w:rPr>
          <w:b/>
        </w:rPr>
        <w:t>CONTRATANTE</w:t>
      </w:r>
      <w:r>
        <w:t xml:space="preserve"> é </w:t>
      </w:r>
      <w:r>
        <w:rPr>
          <w:b/>
        </w:rPr>
        <w:t>controladora</w:t>
      </w:r>
      <w:r>
        <w:t xml:space="preserve"> e o </w:t>
      </w:r>
      <w:r>
        <w:rPr>
          <w:b/>
        </w:rPr>
        <w:t>PRESTADOR</w:t>
      </w:r>
      <w:r>
        <w:t xml:space="preserve"> atua como </w:t>
      </w:r>
      <w:r>
        <w:rPr>
          <w:b/>
        </w:rPr>
        <w:t>operador</w:t>
      </w:r>
      <w:r>
        <w:t>, limitado às instruções lícitas da CONTRATANTE e ao escopo deste contrato.</w:t>
      </w:r>
    </w:p>
    <w:p>
      <w:pPr>
        <w:pStyle w:val="ListNumber"/>
      </w:pPr>
      <w:r>
        <w:t>10.2. O PRESTADOR poderá utilizar subprocessadores necessários à execução (por exemplo, provedores de hospedagem e de API de IA), observadas obrigações contratuais compatíveis com a LGPD.</w:t>
      </w:r>
    </w:p>
    <w:p>
      <w:pPr>
        <w:pStyle w:val="ListNumber"/>
      </w:pPr>
      <w:r>
        <w:t>10.3. A CONTRATANTE é responsável pela base legal, transparência perante os pacientes e pelo conteúdo clínico das orientações validadas no roteiro do agente.</w:t>
      </w:r>
    </w:p>
    <w:p>
      <w:pPr>
        <w:pStyle w:val="Heading1"/>
      </w:pPr>
      <w:r>
        <w:t>CLÁUSULA 11 — DO PRAZO</w:t>
      </w:r>
    </w:p>
    <w:p>
      <w:pPr>
        <w:pStyle w:val="ListNumber"/>
      </w:pPr>
      <w:r>
        <w:t xml:space="preserve">11.1. As partes estimam a </w:t>
      </w:r>
      <w:r>
        <w:rPr>
          <w:b/>
        </w:rPr>
        <w:t>publicação do site (“go-live”)</w:t>
      </w:r>
      <w:r>
        <w:t xml:space="preserve"> em cerca de </w:t>
      </w:r>
      <w:r>
        <w:rPr>
          <w:b/>
        </w:rPr>
        <w:t>6 (seis) semanas</w:t>
      </w:r>
      <w:r>
        <w:t xml:space="preserve"> contadas da assinatura deste contrato e do pagamento da primeira parcela, </w:t>
      </w:r>
      <w:r>
        <w:rPr>
          <w:b/>
        </w:rPr>
        <w:t>prazo não absoluto</w:t>
      </w:r>
      <w:r>
        <w:t>, pois depende das aprovações da CONTRATANTE (design e roteiro do agente), do envio de materiais e do funcionamento de integrações com sistemas de terceiros (agenda).</w:t>
      </w:r>
    </w:p>
    <w:p>
      <w:pPr>
        <w:pStyle w:val="ListNumber"/>
      </w:pPr>
      <w:r>
        <w:t>11.2. Etapas do projeto poderão ser executadas de forma paralela para otimização de tempo, conforme Proposta do Anexo C.</w:t>
      </w:r>
    </w:p>
    <w:p>
      <w:pPr>
        <w:pStyle w:val="Heading1"/>
      </w:pPr>
      <w:r>
        <w:t>CLÁUSULA 12 — DA GARANTIA</w:t>
      </w:r>
    </w:p>
    <w:p>
      <w:pPr>
        <w:pStyle w:val="ListNumber"/>
      </w:pPr>
      <w:r>
        <w:t xml:space="preserve">12.1. Pelo prazo de </w:t>
      </w:r>
      <w:r>
        <w:rPr>
          <w:b/>
        </w:rPr>
        <w:t>30 (trinta) dias</w:t>
      </w:r>
      <w:r>
        <w:t xml:space="preserve"> contados do Aceite Final, o PRESTADOR corrigirá, sem custo adicional, </w:t>
      </w:r>
      <w:r>
        <w:rPr>
          <w:b/>
        </w:rPr>
        <w:t>defeitos de implementação</w:t>
      </w:r>
      <w:r>
        <w:t xml:space="preserve"> que impeçam o funcionamento das funcionalidades previstas no Anexo A, desde que reportados por escrito.</w:t>
      </w:r>
    </w:p>
    <w:p>
      <w:pPr>
        <w:pStyle w:val="ListNumber"/>
      </w:pPr>
      <w:r>
        <w:t>12.2. Não se incluem na garantia: alterações de conteúdo, novas funcionalidades, problemas de terceiros (API, agenda, internet), custos de infraestrutura, uso indevido ou demandas enquadradas na Cláusula 6.</w:t>
      </w:r>
    </w:p>
    <w:p>
      <w:pPr>
        <w:pStyle w:val="Heading1"/>
      </w:pPr>
      <w:r>
        <w:t>CLÁUSULA 13 — DA RESCISÃO</w:t>
      </w:r>
    </w:p>
    <w:p>
      <w:pPr>
        <w:pStyle w:val="ListNumber"/>
      </w:pPr>
      <w:r>
        <w:t>13.1. O contrato poderá ser rescindido por acordo escrito entre as partes, com definição dos entregáveis e valores proporcionais.</w:t>
      </w:r>
    </w:p>
    <w:p>
      <w:pPr>
        <w:pStyle w:val="ListNumber"/>
      </w:pPr>
      <w:r>
        <w:t xml:space="preserve">13.2. Constitui motivo para rescisão por justa causa o descumprimento relevante de obrigação, não sanado em </w:t>
      </w:r>
      <w:r>
        <w:rPr>
          <w:b/>
        </w:rPr>
        <w:t>15 (quinze) dias</w:t>
      </w:r>
      <w:r>
        <w:t xml:space="preserve"> após notificação.</w:t>
      </w:r>
    </w:p>
    <w:p>
      <w:pPr>
        <w:pStyle w:val="ListNumber"/>
      </w:pPr>
      <w:r>
        <w:t>13.3. Na rescisão antecipada sem culpa do PRESTADOR, serão devidos os serviços já executados e parcelas vencidas; na hipótese de rescisão por iniciativa da CONTRATANTE após início dos trabalhos, as partes poderão negociar valor proporcional ao estágio do projeto.</w:t>
      </w:r>
    </w:p>
    <w:p>
      <w:pPr>
        <w:pStyle w:val="Heading1"/>
      </w:pPr>
      <w:r>
        <w:t>CLÁUSULA 14 — DAS DISPOSIÇÕES GERAIS</w:t>
      </w:r>
    </w:p>
    <w:p>
      <w:pPr>
        <w:pStyle w:val="ListNumber"/>
      </w:pPr>
      <w:r>
        <w:t xml:space="preserve">14.1. Este contrato substitui entendimentos anteriores sobre o mesmo objeto, prevalecendo, em caso de divergência material sobre escopo ou preço da implantação, o conjunto </w:t>
      </w:r>
      <w:r>
        <w:rPr>
          <w:b/>
        </w:rPr>
        <w:t>Anexo A + Anexo C</w:t>
      </w:r>
      <w:r>
        <w:t>, ressalvadas alterações posteriores por escrito assinadas pelas partes.</w:t>
      </w:r>
    </w:p>
    <w:p>
      <w:pPr>
        <w:pStyle w:val="ListNumber"/>
      </w:pPr>
      <w:r>
        <w:t>14.2. Comunicações relativas ao contrato poderão ocorrer pelos e-mails e telefones indicados na Cláusula 1, ou outros informados por escrito.</w:t>
      </w:r>
    </w:p>
    <w:p>
      <w:pPr>
        <w:pStyle w:val="ListNumber"/>
      </w:pPr>
      <w:r>
        <w:t>14.3. A tolerância de uma parte quanto ao descumprimento da outra não implica renúncia de direito.</w:t>
      </w:r>
    </w:p>
    <w:p>
      <w:pPr>
        <w:pStyle w:val="ListNumber"/>
      </w:pPr>
      <w:r>
        <w:t xml:space="preserve">14.4. Fica eleito o foro da </w:t>
      </w:r>
      <w:r>
        <w:rPr>
          <w:b/>
        </w:rPr>
        <w:t>Comarca de Anápolis — GO</w:t>
      </w:r>
      <w:r>
        <w:t xml:space="preserve"> para dirimir controvérsias oriundas deste contrato, com renúncia a qualquer outro, por mais privilegiado que seja.</w:t>
      </w:r>
    </w:p>
    <w:p>
      <w:pPr>
        <w:pStyle w:val="Heading1"/>
      </w:pPr>
      <w:r>
        <w:t>ASSINATURAS</w:t>
      </w:r>
    </w:p>
    <w:p>
      <w:r>
        <w:t>Anápolis — GO, _____ de _________________ de 2026.</w:t>
      </w:r>
    </w:p>
    <w:p/>
    <w:p>
      <w:r/>
      <w:r>
        <w:rPr>
          <w:b/>
        </w:rPr>
        <w:t>CONTRATANTE</w:t>
      </w:r>
      <w:r/>
    </w:p>
    <w:p>
      <w:r>
        <w:t>LBMC SERVIÇOS MÉDICOS LTDA</w:t>
      </w:r>
    </w:p>
    <w:p>
      <w:r>
        <w:t>CNPJ 58.890.466/0001-90</w:t>
      </w:r>
    </w:p>
    <w:p>
      <w:r>
        <w:t>_______________________________________________</w:t>
      </w:r>
    </w:p>
    <w:p>
      <w:r>
        <w:t>Lucas Bacani de Moraes Coura</w:t>
      </w:r>
    </w:p>
    <w:p>
      <w:r>
        <w:t>Representante legal</w:t>
      </w:r>
    </w:p>
    <w:p>
      <w:r>
        <w:t>CRM/GO 35.981</w:t>
      </w:r>
    </w:p>
    <w:p/>
    <w:p>
      <w:r/>
      <w:r>
        <w:rPr>
          <w:b/>
        </w:rPr>
        <w:t>PRESTADOR</w:t>
      </w:r>
      <w:r/>
    </w:p>
    <w:p>
      <w:r>
        <w:t>_______________________________________________</w:t>
      </w:r>
    </w:p>
    <w:p>
      <w:r>
        <w:t>Messias de Sousa Amorim Neto</w:t>
      </w:r>
    </w:p>
    <w:p>
      <w:r>
        <w:t>CPF 053.467.671-50</w:t>
      </w:r>
    </w:p>
    <w:p>
      <w:pPr>
        <w:pStyle w:val="Title"/>
        <w:jc w:val="center"/>
      </w:pPr>
      <w:r>
        <w:t>ANEXO A — ESCOPO DA IMPLANTAÇÃO (FASE 1)</w:t>
      </w:r>
    </w:p>
    <w:p>
      <w:r/>
      <w:r>
        <w:rPr>
          <w:b/>
        </w:rPr>
        <w:t>Valor total da implantação: R$ 1.400,00</w:t>
      </w:r>
      <w:r/>
    </w:p>
    <w:p>
      <w:r>
        <w:rPr>
          <w:i/>
        </w:rPr>
        <w:t>Detalhamento informativo (Proposta Comercial): Design R$ 210; Desenvolvimento R$ 490; Agente de IA R$ 350; Agendamento online R$ 140; SEO local R$ 105; LGPD e CFM R$ 105.</w:t>
      </w:r>
    </w:p>
    <w:p>
      <w:pPr>
        <w:pStyle w:val="Heading2"/>
      </w:pPr>
      <w:r>
        <w:t>Páginas (cerca de 10)</w:t>
      </w:r>
    </w:p>
    <w:p>
      <w:pPr>
        <w:pStyle w:val="ListNumber"/>
      </w:pPr>
      <w:r>
        <w:t xml:space="preserve">1. </w:t>
      </w:r>
      <w:r>
        <w:rPr>
          <w:b/>
        </w:rPr>
        <w:t>Home</w:t>
      </w:r>
      <w:r>
        <w:t xml:space="preserve"> — posicionamento, perfis de paciente, equipe e chamada para o pré-atendimento com o agente.</w:t>
      </w:r>
    </w:p>
    <w:p>
      <w:pPr>
        <w:pStyle w:val="ListNumber"/>
      </w:pPr>
      <w:r>
        <w:t xml:space="preserve">2. </w:t>
      </w:r>
      <w:r>
        <w:rPr>
          <w:b/>
        </w:rPr>
        <w:t>Quatro páginas de perfil de paciente</w:t>
      </w:r>
      <w:r>
        <w:t xml:space="preserve"> — atleta profissional; amador de alto rendimento; executivo e longevidade; reabilitação e lesões.</w:t>
      </w:r>
    </w:p>
    <w:p>
      <w:pPr>
        <w:pStyle w:val="ListNumber"/>
      </w:pPr>
      <w:r>
        <w:t xml:space="preserve">3. </w:t>
      </w:r>
      <w:r>
        <w:rPr>
          <w:b/>
        </w:rPr>
        <w:t>Avaliações e serviços</w:t>
      </w:r>
      <w:r>
        <w:t xml:space="preserve"> — exames explicados (o que é, para que serve, como se preparar).</w:t>
      </w:r>
    </w:p>
    <w:p>
      <w:pPr>
        <w:pStyle w:val="ListNumber"/>
      </w:pPr>
      <w:r>
        <w:t xml:space="preserve">4. </w:t>
      </w:r>
      <w:r>
        <w:rPr>
          <w:b/>
        </w:rPr>
        <w:t>Equipe</w:t>
      </w:r>
      <w:r>
        <w:t xml:space="preserve"> — foto, formação, CRM e RQE de cada profissional.</w:t>
      </w:r>
    </w:p>
    <w:p>
      <w:pPr>
        <w:pStyle w:val="ListNumber"/>
      </w:pPr>
      <w:r>
        <w:t xml:space="preserve">5. </w:t>
      </w:r>
      <w:r>
        <w:rPr>
          <w:b/>
        </w:rPr>
        <w:t>Para equipes e assessorias</w:t>
      </w:r>
      <w:r>
        <w:t xml:space="preserve"> — atendimento a clubes, assessorias de corrida e empresas.</w:t>
      </w:r>
    </w:p>
    <w:p>
      <w:pPr>
        <w:pStyle w:val="ListNumber"/>
      </w:pPr>
      <w:r>
        <w:t xml:space="preserve">6. </w:t>
      </w:r>
      <w:r>
        <w:rPr>
          <w:b/>
        </w:rPr>
        <w:t>Conteúdo</w:t>
      </w:r>
      <w:r>
        <w:t xml:space="preserve"> — estrutura de blog para artigos e vídeos da equipe (*sem* redação de artigos nem produção de vídeos inclusa).</w:t>
      </w:r>
    </w:p>
    <w:p>
      <w:pPr>
        <w:pStyle w:val="ListNumber"/>
      </w:pPr>
      <w:r>
        <w:t xml:space="preserve">7. </w:t>
      </w:r>
      <w:r>
        <w:rPr>
          <w:b/>
        </w:rPr>
        <w:t>Contato e localização.</w:t>
      </w:r>
      <w:r/>
    </w:p>
    <w:p>
      <w:pPr>
        <w:pStyle w:val="Heading2"/>
      </w:pPr>
      <w:r>
        <w:t>Funcionalidades</w:t>
      </w:r>
    </w:p>
    <w:p>
      <w:pPr>
        <w:pStyle w:val="ListBullet"/>
      </w:pPr>
      <w:r/>
      <w:r>
        <w:rPr>
          <w:b/>
        </w:rPr>
        <w:t>Agente de IA de anamnese:</w:t>
      </w:r>
      <w:r>
        <w:t xml:space="preserve"> conversa guiada; ficha de pré-consulta; triagem de sinais de alerta cardiovasculares; envio da ficha à recepção por e-mail ou WhatsApp; roteiro revisado e aprovado pelo médico responsável.</w:t>
      </w:r>
    </w:p>
    <w:p>
      <w:pPr>
        <w:pStyle w:val="ListBullet"/>
      </w:pPr>
      <w:r/>
      <w:r>
        <w:rPr>
          <w:b/>
        </w:rPr>
        <w:t>Agendamento online</w:t>
      </w:r>
      <w:r>
        <w:t xml:space="preserve"> integrado à ferramenta de agenda da clínica, com WhatsApp como apoio.</w:t>
      </w:r>
    </w:p>
    <w:p>
      <w:pPr>
        <w:pStyle w:val="ListBullet"/>
      </w:pPr>
      <w:r>
        <w:t xml:space="preserve">Site </w:t>
      </w:r>
      <w:r>
        <w:rPr>
          <w:b/>
        </w:rPr>
        <w:t>responsivo</w:t>
      </w:r>
      <w:r>
        <w:t xml:space="preserve"> (celular e computador), com </w:t>
      </w:r>
      <w:r>
        <w:rPr>
          <w:b/>
        </w:rPr>
        <w:t>tema claro e escuro</w:t>
      </w:r>
      <w:r>
        <w:t>.</w:t>
      </w:r>
    </w:p>
    <w:p>
      <w:pPr>
        <w:pStyle w:val="ListBullet"/>
      </w:pPr>
      <w:r/>
      <w:r>
        <w:rPr>
          <w:b/>
        </w:rPr>
        <w:t>SEO local</w:t>
      </w:r>
      <w:r>
        <w:t xml:space="preserve"> — Google Meu Negócio e otimização para buscas locais (ex.: “medicina esportiva Anápolis”).</w:t>
      </w:r>
    </w:p>
    <w:p>
      <w:pPr>
        <w:pStyle w:val="ListBullet"/>
      </w:pPr>
      <w:r/>
      <w:r>
        <w:rPr>
          <w:b/>
        </w:rPr>
        <w:t>LGPD e CFM</w:t>
      </w:r>
      <w:r>
        <w:t xml:space="preserve"> — política de privacidade, termo de consentimento e revisão dos textos conforme Res. CFM 2.336/2023 e 2.454/2026, no âmbito do projeto.</w:t>
      </w:r>
    </w:p>
    <w:p>
      <w:pPr>
        <w:pStyle w:val="ListBullet"/>
      </w:pPr>
      <w:r/>
      <w:r>
        <w:rPr>
          <w:b/>
        </w:rPr>
        <w:t>Publicação</w:t>
      </w:r>
      <w:r>
        <w:t xml:space="preserve"> do site em ambiente seguro (HTTPS).</w:t>
      </w:r>
    </w:p>
    <w:p>
      <w:pPr>
        <w:pStyle w:val="Heading2"/>
      </w:pPr>
      <w:r>
        <w:t>Ajustes e aprovações incluídos</w:t>
      </w:r>
    </w:p>
    <w:p>
      <w:pPr>
        <w:pStyle w:val="ListBullet"/>
      </w:pPr>
      <w:r>
        <w:t xml:space="preserve">Até </w:t>
      </w:r>
      <w:r>
        <w:rPr>
          <w:b/>
        </w:rPr>
        <w:t>2 (duas) rodadas</w:t>
      </w:r>
      <w:r>
        <w:t xml:space="preserve"> de ajustes no </w:t>
      </w:r>
      <w:r>
        <w:rPr>
          <w:b/>
        </w:rPr>
        <w:t>design</w:t>
      </w:r>
      <w:r>
        <w:t>, após a primeira aprovação da CONTRATANTE.</w:t>
      </w:r>
    </w:p>
    <w:p>
      <w:pPr>
        <w:pStyle w:val="ListBullet"/>
      </w:pPr>
      <w:r>
        <w:t xml:space="preserve">Até </w:t>
      </w:r>
      <w:r>
        <w:rPr>
          <w:b/>
        </w:rPr>
        <w:t>2 (duas) rodadas</w:t>
      </w:r>
      <w:r>
        <w:t xml:space="preserve"> de ajustes na </w:t>
      </w:r>
      <w:r>
        <w:rPr>
          <w:b/>
        </w:rPr>
        <w:t>versão final</w:t>
      </w:r>
      <w:r>
        <w:t xml:space="preserve"> antes do lançamento.</w:t>
      </w:r>
    </w:p>
    <w:p>
      <w:pPr>
        <w:pStyle w:val="ListBullet"/>
      </w:pPr>
      <w:r>
        <w:t xml:space="preserve">Duas aprovações principais da clínica que orientam o ritmo do projeto: </w:t>
      </w:r>
      <w:r>
        <w:rPr>
          <w:b/>
        </w:rPr>
        <w:t>design</w:t>
      </w:r>
      <w:r>
        <w:t xml:space="preserve"> e </w:t>
      </w:r>
      <w:r>
        <w:rPr>
          <w:b/>
        </w:rPr>
        <w:t>roteiro do agente</w:t>
      </w:r>
      <w:r>
        <w:t>.</w:t>
      </w:r>
    </w:p>
    <w:p>
      <w:pPr>
        <w:pStyle w:val="Heading2"/>
      </w:pPr>
      <w:r>
        <w:t>Exclusões (resumo)</w:t>
      </w:r>
    </w:p>
    <w:p>
      <w:r>
        <w:t>Área do paciente com login; integração com prontuário; agente no WhatsApp; produção de fotos e vídeos; redação de artigos; Fases 2 e 3; custo da API Anthropic; manutenção e serviços após o Aceite Final (Cláusula 6).</w:t>
      </w:r>
    </w:p>
    <w:p>
      <w:pPr>
        <w:pStyle w:val="Title"/>
        <w:jc w:val="center"/>
      </w:pPr>
      <w:r>
        <w:t>ANEXO B — CRONOGRAMA DE PAGAMENTOS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Parcela</w:t>
            </w:r>
          </w:p>
        </w:tc>
        <w:tc>
          <w:tcPr>
            <w:tcW w:type="dxa" w:w="3135"/>
          </w:tcPr>
          <w:p>
            <w:r>
              <w:t>Valor (R$)</w:t>
            </w:r>
          </w:p>
        </w:tc>
        <w:tc>
          <w:tcPr>
            <w:tcW w:type="dxa" w:w="3135"/>
          </w:tcPr>
          <w:p>
            <w:r>
              <w:t>Vencimento</w:t>
            </w:r>
          </w:p>
        </w:tc>
      </w:tr>
      <w:tr>
        <w:tc>
          <w:tcPr>
            <w:tcW w:type="dxa" w:w="3135"/>
          </w:tcPr>
          <w:p>
            <w:r>
              <w:t>1ª</w:t>
            </w:r>
          </w:p>
        </w:tc>
        <w:tc>
          <w:tcPr>
            <w:tcW w:type="dxa" w:w="3135"/>
          </w:tcPr>
          <w:p>
            <w:r>
              <w:t>280,00</w:t>
            </w:r>
          </w:p>
        </w:tc>
        <w:tc>
          <w:tcPr>
            <w:tcW w:type="dxa" w:w="3135"/>
          </w:tcPr>
          <w:p>
            <w:r>
              <w:t>14/10/2026</w:t>
            </w:r>
          </w:p>
        </w:tc>
      </w:tr>
      <w:tr>
        <w:tc>
          <w:tcPr>
            <w:tcW w:type="dxa" w:w="3135"/>
          </w:tcPr>
          <w:p>
            <w:r>
              <w:t>2ª</w:t>
            </w:r>
          </w:p>
        </w:tc>
        <w:tc>
          <w:tcPr>
            <w:tcW w:type="dxa" w:w="3135"/>
          </w:tcPr>
          <w:p>
            <w:r>
              <w:t>280,00</w:t>
            </w:r>
          </w:p>
        </w:tc>
        <w:tc>
          <w:tcPr>
            <w:tcW w:type="dxa" w:w="3135"/>
          </w:tcPr>
          <w:p>
            <w:r>
              <w:t>14/11/2026</w:t>
            </w:r>
          </w:p>
        </w:tc>
      </w:tr>
      <w:tr>
        <w:tc>
          <w:tcPr>
            <w:tcW w:type="dxa" w:w="3135"/>
          </w:tcPr>
          <w:p>
            <w:r>
              <w:t>3ª</w:t>
            </w:r>
          </w:p>
        </w:tc>
        <w:tc>
          <w:tcPr>
            <w:tcW w:type="dxa" w:w="3135"/>
          </w:tcPr>
          <w:p>
            <w:r>
              <w:t>280,00</w:t>
            </w:r>
          </w:p>
        </w:tc>
        <w:tc>
          <w:tcPr>
            <w:tcW w:type="dxa" w:w="3135"/>
          </w:tcPr>
          <w:p>
            <w:r>
              <w:t>14/12/2026</w:t>
            </w:r>
          </w:p>
        </w:tc>
      </w:tr>
      <w:tr>
        <w:tc>
          <w:tcPr>
            <w:tcW w:type="dxa" w:w="3135"/>
          </w:tcPr>
          <w:p>
            <w:r>
              <w:t>4ª</w:t>
            </w:r>
          </w:p>
        </w:tc>
        <w:tc>
          <w:tcPr>
            <w:tcW w:type="dxa" w:w="3135"/>
          </w:tcPr>
          <w:p>
            <w:r>
              <w:t>280,00</w:t>
            </w:r>
          </w:p>
        </w:tc>
        <w:tc>
          <w:tcPr>
            <w:tcW w:type="dxa" w:w="3135"/>
          </w:tcPr>
          <w:p>
            <w:r>
              <w:t>14/01/2027</w:t>
            </w:r>
          </w:p>
        </w:tc>
      </w:tr>
      <w:tr>
        <w:tc>
          <w:tcPr>
            <w:tcW w:type="dxa" w:w="3135"/>
          </w:tcPr>
          <w:p>
            <w:r>
              <w:t>5ª</w:t>
            </w:r>
          </w:p>
        </w:tc>
        <w:tc>
          <w:tcPr>
            <w:tcW w:type="dxa" w:w="3135"/>
          </w:tcPr>
          <w:p>
            <w:r>
              <w:t>280,00</w:t>
            </w:r>
          </w:p>
        </w:tc>
        <w:tc>
          <w:tcPr>
            <w:tcW w:type="dxa" w:w="3135"/>
          </w:tcPr>
          <w:p>
            <w:r>
              <w:t>14/02/2027</w:t>
            </w:r>
          </w:p>
        </w:tc>
      </w:tr>
      <w:tr>
        <w:tc>
          <w:tcPr>
            <w:tcW w:type="dxa" w:w="3135"/>
          </w:tcPr>
          <w:p>
            <w:r>
              <w:t>Total</w:t>
            </w:r>
          </w:p>
        </w:tc>
        <w:tc>
          <w:tcPr>
            <w:tcW w:type="dxa" w:w="3135"/>
          </w:tcPr>
          <w:p>
            <w:r>
              <w:t>1.400,00</w:t>
            </w:r>
          </w:p>
        </w:tc>
        <w:tc>
          <w:tcPr>
            <w:tcW w:type="dxa" w:w="3135"/>
          </w:tcPr>
          <w:p>
            <w:r/>
          </w:p>
        </w:tc>
      </w:tr>
    </w:tbl>
    <w:p/>
    <w:p>
      <w:r/>
      <w:r>
        <w:rPr>
          <w:b/>
        </w:rPr>
        <w:t>Forma de pagamento:</w:t>
      </w:r>
      <w:r>
        <w:t xml:space="preserve"> PIX — chave </w:t>
      </w:r>
      <w:r>
        <w:rPr>
          <w:b/>
        </w:rPr>
        <w:t>(62) 98137-8716</w:t>
      </w:r>
      <w:r>
        <w:t xml:space="preserve"> (Messias de Sousa Amorim Neto).</w:t>
      </w:r>
    </w:p>
    <w:p>
      <w:pPr>
        <w:pStyle w:val="Title"/>
        <w:jc w:val="center"/>
      </w:pPr>
      <w:r>
        <w:t>ANEXO C — PROPOSTA COMERCIAL</w:t>
      </w:r>
    </w:p>
    <w:p>
      <w:r>
        <w:t xml:space="preserve">Faz parte integrante deste contrato a </w:t>
      </w:r>
      <w:r>
        <w:rPr>
          <w:b/>
        </w:rPr>
        <w:t>Proposta Comercial — Site BacaniCoura</w:t>
      </w:r>
      <w:r>
        <w:t xml:space="preserve">, no valor de implantação de R$ 1.400,00, arquivo </w:t>
      </w:r>
      <w:r>
        <w:rPr>
          <w:b/>
        </w:rPr>
        <w:t>`Proposta_Comercial_BacaniCoura_R1400.pdf`</w:t>
      </w:r>
      <w:r>
        <w:t>, nesta pasta `contratos/`, aceita pelas partes na data das assinaturas.</w:t>
      </w:r>
    </w:p>
    <w:p>
      <w:r>
        <w:rPr>
          <w:i/>
        </w:rPr>
        <w:t>Modelo elaborado para fins de formalização entre as partes. Recomenda-se revisão por advogado, especialmente quanto a dados de saúde, LGPD e uso de IA em contexto médico.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