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Subbaraman</w:t>
        <w:br/>
      </w:r>
      <w:r>
        <w:rPr>
          <w:i/>
          <w:color w:val="6C757D"/>
          <w:sz w:val="20"/>
        </w:rPr>
        <w:t>Department of Biotechnology, PES University, Bangalore, Karnataka, India</w:t>
        <w:br/>
        <w:t>Preprint compiled for bioRxiv submission (Subject Area: Bioinformatics / Biophysics)</w:t>
        <w:br/>
        <w:t>Correspondence: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p>
          <w:p>
            <w:pPr>
              <w:spacing w:after="120"/>
            </w:pPr>
            <w:r>
              <w:rPr>
                <w:rFonts w:ascii="Calibri" w:hAnsi="Calibri"/>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r>
          </w:p>
          <w:p>
            <w:pPr>
              <w:spacing w:after="120"/>
            </w:pPr>
            <w:r>
              <w:rPr>
                <w:rFonts w:ascii="Calibri" w:hAnsi="Calibri"/>
                <w:sz w:val="20"/>
              </w:rPr>
              <w:t xml:space="preserve">Here, we introduce </w:t>
            </w:r>
            <w:r>
              <w:rPr>
                <w:rFonts w:ascii="Calibri" w:hAnsi="Calibri"/>
                <w:b/>
                <w:sz w:val="20"/>
              </w:rPr>
              <w:t>FreeSolvE</w:t>
            </w:r>
            <w:r>
              <w:rPr>
                <w:rFonts w:ascii="Calibri" w:hAnsi="Calibri"/>
                <w:sz w:val="20"/>
              </w:rPr>
              <w:t xml:space="preserve">, a differentiable continuum solvation and articulated kinematics engine natively optimized for both </w:t>
            </w:r>
            <w:r>
              <w:rPr>
                <w:rFonts w:ascii="Calibri" w:hAnsi="Calibri"/>
                <w:b/>
                <w:sz w:val="20"/>
              </w:rPr>
              <w:t>commodity CPUs and GPUs</w:t>
            </w:r>
            <w:r>
              <w:rPr>
                <w:rFonts w:ascii="Calibri" w:hAnsi="Calibri"/>
                <w:sz w:val="20"/>
              </w:rPr>
              <w:t xml:space="preserve">, designed to bridge statistical generative representations and physical biophysics at </w:t>
            </w:r>
            <w:r>
              <w:rPr>
                <w:rFonts w:ascii="Calibri" w:hAnsi="Calibri"/>
                <w:b/>
                <w:sz w:val="20"/>
              </w:rPr>
              <w:t>ultra-high computational speed</w:t>
            </w:r>
            <w:r>
              <w:rPr>
                <w:rFonts w:ascii="Calibri" w:hAnsi="Calibri"/>
                <w:sz w:val="20"/>
              </w:rPr>
              <w:t xml:space="preserve">. The core conceptual innovation of FreeSolvE is the utilization of </w:t>
            </w:r>
            <w:r>
              <w:rPr>
                <w:rFonts w:ascii="Calibri" w:hAnsi="Calibri"/>
                <w:b/>
                <w:sz w:val="20"/>
              </w:rPr>
              <w:t>implicit aqueous solvation as an ultra-fast thermodynamic mediator</w:t>
            </w:r>
            <w:r>
              <w:rPr>
                <w:rFonts w:ascii="Calibri" w:hAnsi="Calibri"/>
                <w:sz w:val="20"/>
              </w:rPr>
              <w:t>: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w:t>
            </w:r>
            <w:r>
              <w:rPr>
                <w:rFonts w:ascii="Calibri" w:hAnsi="Calibri"/>
                <w:sz w:val="20"/>
              </w:rPr>
              <w:t>^</w:t>
            </w:r>
            <w:r>
              <w:rPr>
                <w:rFonts w:ascii="Calibri" w:hAnsi="Calibri"/>
                <w:sz w:val="20"/>
              </w:rPr>
              <w:t>-12) characteristic of standard molecular mechanics while screening unphysical electrostatic spikes. Simultaneously, FreeSolvE parameterizes ligand flexibility strictly in internal torsion space (SO(3) x R</w:t>
            </w:r>
            <w:r>
              <w:rPr>
                <w:rFonts w:ascii="Calibri" w:hAnsi="Calibri"/>
                <w:sz w:val="20"/>
              </w:rPr>
              <w:t>^</w:t>
            </w:r>
            <w:r>
              <w:rPr>
                <w:rFonts w:ascii="Calibri" w:hAnsi="Calibri"/>
                <w:sz w:val="20"/>
              </w:rPr>
              <w:t>3 x T</w:t>
            </w:r>
            <w:r>
              <w:rPr>
                <w:rFonts w:ascii="Calibri" w:hAnsi="Calibri"/>
                <w:sz w:val="20"/>
              </w:rPr>
              <w:t>^</w:t>
            </w:r>
            <w:r>
              <w:rPr>
                <w:rFonts w:ascii="Calibri" w:hAnsi="Calibri"/>
                <w:sz w:val="20"/>
              </w:rPr>
              <w:t>k) via differentiable forward kinematics, preserving covalent bond lengths and valence angles by construction.</w:t>
            </w:r>
          </w:p>
          <w:p>
            <w:pPr>
              <w:spacing w:after="0"/>
            </w:pPr>
            <w:r>
              <w:rPr>
                <w:rFonts w:ascii="Calibri" w:hAnsi="Calibri"/>
                <w:sz w:val="20"/>
              </w:rPr>
              <w:t xml:space="preserve">Benchmarked across 50 diverse co-crystal complexes from the official PoseBusters validation set executed entirely on standard commodity CPU hardware, FreeSolvE rescues severely clashing initial poses, driving the physical clash pass rate from </w:t>
            </w:r>
            <w:r>
              <w:rPr>
                <w:rFonts w:ascii="Calibri" w:hAnsi="Calibri"/>
                <w:b/>
                <w:sz w:val="20"/>
              </w:rPr>
              <w:t>2.0% to 52.0% (+50.0% absolute gain)</w:t>
            </w:r>
            <w:r>
              <w:rPr>
                <w:rFonts w:ascii="Calibri" w:hAnsi="Calibri"/>
                <w:sz w:val="20"/>
              </w:rPr>
              <w:t xml:space="preserve"> in an average runtime of only </w:t>
            </w:r>
            <w:r>
              <w:rPr>
                <w:rFonts w:ascii="Calibri" w:hAnsi="Calibri"/>
                <w:b/>
                <w:sz w:val="20"/>
              </w:rPr>
              <w:t>2.33 seconds per target</w:t>
            </w:r>
            <w:r>
              <w:rPr>
                <w:rFonts w:ascii="Calibri" w:hAnsi="Calibri"/>
                <w:sz w:val="20"/>
              </w:rPr>
              <w:t xml:space="preserve"> (over 18,000× faster than explicit-solvent MD), maintaining 100% pocket residency (mean displacement 0.85 Å) without requiring manual forcefield parameterization, topology preparation, or dedicated GPU hardware. Furthermore, when embedded as an end-to-end differentiable loss layer (</w:t>
            </w:r>
            <w:r>
              <w:rPr>
                <w:rFonts w:ascii="Consolas" w:hAnsi="Consolas"/>
                <w:color w:val="005F73"/>
                <w:sz w:val="18"/>
              </w:rPr>
              <w:t>FreeSolvEPhysicsLoss</w:t>
            </w:r>
            <w:r>
              <w:rPr>
                <w:rFonts w:ascii="Calibri" w:hAnsi="Calibri"/>
                <w:sz w:val="20"/>
              </w:rPr>
              <w:t>) during PyTorch neural network training, FreeSolvE introduces near-zero overhead (+14 ms/step) while completely eliminating pocket clashes within 5 epochs (5 to 0 clashes), whereas standard mean squared error coordinate regression remains permanently trapped in steric collision. FreeSolvE is open-source and installable via PyPI (</w:t>
            </w:r>
            <w:r>
              <w:rPr>
                <w:rFonts w:ascii="Consolas" w:hAnsi="Consolas"/>
                <w:color w:val="005F73"/>
                <w:sz w:val="18"/>
              </w:rPr>
              <w:t>pip install freesolve</w:t>
            </w:r>
            <w:r>
              <w:rPr>
                <w:rFonts w:ascii="Calibri" w:hAnsi="Calibri"/>
                <w:sz w:val="20"/>
              </w:rPr>
              <w:t>), providing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rPr>
          <w:rFonts w:ascii="Calibri" w:hAnsi="Calibri"/>
          <w:sz w:val="22"/>
        </w:rP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 such as AutoDock Vina (Trott and Olson, 2010).</w:t>
      </w:r>
    </w:p>
    <w:p>
      <w:pPr>
        <w:pStyle w:val="Heading2"/>
        <w:keepNext/>
        <w:spacing w:before="280" w:after="120"/>
      </w:pPr>
      <w:r>
        <w:rPr>
          <w:b/>
          <w:color w:val="0A9396"/>
          <w:sz w:val="26"/>
        </w:rPr>
        <w:t>1.1 The 'Vacuum Fallacy' and Physical Plausibility Crisis</w:t>
      </w:r>
    </w:p>
    <w:p>
      <w:r>
        <w:rPr>
          <w:rFonts w:ascii="Calibri" w:hAnsi="Calibri"/>
          <w:sz w:val="22"/>
        </w:rPr>
        <w:t>Despite high apparent scoring against root-mean-square deviation (RMSD) metrics, recent rigorous evaluations have exposed severe biophysical flaws in purely statistical docking models. In a landmark study introducing the PoseBusters benchmark suite, Buttenschoen et al. (</w:t>
      </w:r>
      <w:r>
        <w:rPr>
          <w:rFonts w:ascii="Calibri" w:hAnsi="Calibri"/>
          <w:i/>
          <w:sz w:val="22"/>
        </w:rPr>
        <w:t>Chem. Sci.</w:t>
      </w:r>
      <w:r>
        <w:rPr>
          <w:rFonts w:ascii="Calibri" w:hAnsi="Calibri"/>
          <w:sz w:val="22"/>
        </w:rPr>
        <w:t xml:space="preserve"> 2024) demonstrated that deep generative docking models frequently output physically impossible poses:</w:t>
        <w:br/>
        <w:t xml:space="preserve">• </w:t>
      </w:r>
      <w:r>
        <w:rPr>
          <w:rFonts w:ascii="Calibri" w:hAnsi="Calibri"/>
          <w:b/>
          <w:sz w:val="22"/>
        </w:rPr>
        <w:t>DiffDock</w:t>
      </w:r>
      <w:r>
        <w:rPr>
          <w:rFonts w:ascii="Calibri" w:hAnsi="Calibri"/>
          <w:sz w:val="22"/>
        </w:rPr>
        <w:t xml:space="preserve"> passed only </w:t>
      </w:r>
      <w:r>
        <w:rPr>
          <w:rFonts w:ascii="Calibri" w:hAnsi="Calibri"/>
          <w:b/>
          <w:sz w:val="22"/>
        </w:rPr>
        <w:t>36.4%</w:t>
      </w:r>
      <w:r>
        <w:rPr>
          <w:rFonts w:ascii="Calibri" w:hAnsi="Calibri"/>
          <w:sz w:val="22"/>
        </w:rPr>
        <w:t xml:space="preserve"> of PoseBusters physical validity criteria.</w:t>
        <w:br/>
        <w:t xml:space="preserve">• </w:t>
      </w:r>
      <w:r>
        <w:rPr>
          <w:rFonts w:ascii="Calibri" w:hAnsi="Calibri"/>
          <w:b/>
          <w:sz w:val="22"/>
        </w:rPr>
        <w:t>TANKBind</w:t>
      </w:r>
      <w:r>
        <w:rPr>
          <w:rFonts w:ascii="Calibri" w:hAnsi="Calibri"/>
          <w:sz w:val="22"/>
        </w:rPr>
        <w:t xml:space="preserve"> passed only </w:t>
      </w:r>
      <w:r>
        <w:rPr>
          <w:rFonts w:ascii="Calibri" w:hAnsi="Calibri"/>
          <w:b/>
          <w:sz w:val="22"/>
        </w:rPr>
        <w:t>24.5%</w:t>
      </w:r>
      <w:r>
        <w:rPr>
          <w:rFonts w:ascii="Calibri" w:hAnsi="Calibri"/>
          <w:sz w:val="22"/>
        </w:rPr>
        <w:t>.</w:t>
        <w:br/>
        <w:t xml:space="preserve">• </w:t>
      </w:r>
      <w:r>
        <w:rPr>
          <w:rFonts w:ascii="Calibri" w:hAnsi="Calibri"/>
          <w:b/>
          <w:sz w:val="22"/>
        </w:rPr>
        <w:t>EquiBind</w:t>
      </w:r>
      <w:r>
        <w:rPr>
          <w:rFonts w:ascii="Calibri" w:hAnsi="Calibri"/>
          <w:sz w:val="22"/>
        </w:rPr>
        <w:t xml:space="preserve"> passed only </w:t>
      </w:r>
      <w:r>
        <w:rPr>
          <w:rFonts w:ascii="Calibri" w:hAnsi="Calibri"/>
          <w:b/>
          <w:sz w:val="22"/>
        </w:rPr>
        <w:t>0.3%</w:t>
      </w:r>
      <w:r>
        <w:rPr>
          <w:rFonts w:ascii="Calibri" w:hAnsi="Calibri"/>
          <w:sz w:val="22"/>
        </w:rPr>
        <w:t>.</w:t>
        <w:br/>
        <w:br/>
        <w:t xml:space="preserve">The root cause of this failure is what we term the </w:t>
      </w:r>
      <w:r>
        <w:rPr>
          <w:rFonts w:ascii="Calibri" w:hAnsi="Calibri"/>
          <w:b/>
          <w:sz w:val="22"/>
        </w:rPr>
        <w:t>'Vacuum Fallacy'</w:t>
      </w:r>
      <w:r>
        <w:rPr>
          <w:rFonts w:ascii="Calibri" w:hAnsi="Calibri"/>
          <w:sz w:val="22"/>
        </w:rPr>
        <w:t>: neural networks trained on crystallographic coordinates parameterize distance geometry in an effective vacuum. Standard loss functions, such as coordinate Mean Squared Error (MSE), lack physical inductive biases; they treat a 0.2 Å error in an open solvent channel with the same penalty as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rPr>
          <w:rFonts w:ascii="Calibri" w:hAnsi="Calibri"/>
          <w:sz w:val="22"/>
        </w:rPr>
        <w:t>When computational chemists attempt to post-process AI-generated poses using classical molecular mechanics engines (such as OpenMM, GROMACS, or AMBER), they encounter three severe roadblocks:</w:t>
        <w:br/>
        <w:t xml:space="preserve">1. </w:t>
      </w:r>
      <w:r>
        <w:rPr>
          <w:rFonts w:ascii="Calibri" w:hAnsi="Calibri"/>
          <w:b/>
          <w:sz w:val="22"/>
        </w:rPr>
        <w:t>Extreme Computational Sluggishness</w:t>
      </w:r>
      <w:r>
        <w:rPr>
          <w:rFonts w:ascii="Calibri" w:hAnsi="Calibri"/>
          <w:sz w:val="22"/>
        </w:rPr>
        <w:t xml:space="preserve">: Explicit-solvent MD relaxation requires 10 to 100 nanoseconds of equilibration to relax steric strains, requiring </w:t>
      </w:r>
      <w:r>
        <w:rPr>
          <w:rFonts w:ascii="Calibri" w:hAnsi="Calibri"/>
          <w:b/>
          <w:sz w:val="22"/>
        </w:rPr>
        <w:t>hours to days per complex</w:t>
      </w:r>
      <w:r>
        <w:rPr>
          <w:rFonts w:ascii="Calibri" w:hAnsi="Calibri"/>
          <w:sz w:val="22"/>
        </w:rPr>
        <w:t xml:space="preserve"> (</w:t>
      </w:r>
      <w:r>
        <w:rPr>
          <w:rFonts w:ascii="Calibri" w:hAnsi="Calibri"/>
          <w:sz w:val="22"/>
        </w:rPr>
        <w:t>~</w:t>
      </w:r>
      <w:r>
        <w:rPr>
          <w:rFonts w:ascii="Calibri" w:hAnsi="Calibri"/>
          <w:sz w:val="22"/>
        </w:rPr>
        <w:t>43,200 seconds). Even simple vacuum energy minimization takes 15–45 seconds per target and frequently fails. In high-throughput virtual screening of 10</w:t>
      </w:r>
      <w:r>
        <w:rPr>
          <w:rFonts w:ascii="Calibri" w:hAnsi="Calibri"/>
          <w:sz w:val="22"/>
        </w:rPr>
        <w:t>^</w:t>
      </w:r>
      <w:r>
        <w:rPr>
          <w:rFonts w:ascii="Calibri" w:hAnsi="Calibri"/>
          <w:sz w:val="22"/>
        </w:rPr>
        <w:t>6 compounds or real-time neural network training, this latency is prohibitive.</w:t>
        <w:br/>
        <w:t xml:space="preserve">2. </w:t>
      </w:r>
      <w:r>
        <w:rPr>
          <w:rFonts w:ascii="Calibri" w:hAnsi="Calibri"/>
          <w:b/>
          <w:sz w:val="22"/>
        </w:rPr>
        <w:t>The Brittle Topology Bottleneck</w:t>
      </w:r>
      <w:r>
        <w:rPr>
          <w:rFonts w:ascii="Calibri" w:hAnsi="Calibri"/>
          <w:sz w:val="22"/>
        </w:rPr>
        <w:t xml:space="preserve">: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w:t>
      </w:r>
      <w:r>
        <w:rPr>
          <w:rFonts w:ascii="Consolas" w:hAnsi="Consolas"/>
          <w:color w:val="005F73"/>
          <w:sz w:val="20"/>
        </w:rPr>
        <w:t>OpenMM Error: No template found for residue 0 (ARG)... missing 13 H atoms</w:t>
      </w:r>
      <w:r>
        <w:rPr>
          <w:rFonts w:ascii="Calibri" w:hAnsi="Calibri"/>
          <w:sz w:val="22"/>
        </w:rPr>
        <w:t>).</w:t>
        <w:br/>
        <w:t xml:space="preserve">3. </w:t>
      </w:r>
      <w:r>
        <w:rPr>
          <w:rFonts w:ascii="Calibri" w:hAnsi="Calibri"/>
          <w:b/>
          <w:sz w:val="22"/>
        </w:rPr>
        <w:t>The Numerical Singularity of r^-12 Repulsion</w:t>
      </w:r>
      <w:r>
        <w:rPr>
          <w:rFonts w:ascii="Calibri" w:hAnsi="Calibri"/>
          <w:sz w:val="22"/>
        </w:rPr>
        <w:t>: The standard Lennard-Jones 12-6 potential: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0</w:t>
            </w:r>
            <w:r>
              <w:rPr>
                <w:rFonts w:ascii="Cambria Math" w:hAnsi="Cambria Math"/>
                <w:b w:val="0"/>
                <w:i w:val="0"/>
                <w:color w:val="141414"/>
                <w:sz w:val="23"/>
              </w:rPr>
              <w:t>(r</w:t>
            </w:r>
            <w:r>
              <w:rPr>
                <w:rFonts w:ascii="Cambria Math" w:hAnsi="Cambria Math"/>
                <w:b w:val="0"/>
                <w:i/>
                <w:color w:val="141414"/>
                <w:sz w:val="23"/>
                <w:vertAlign w:val="subscript"/>
              </w:rPr>
              <w:t>ij</w:t>
            </w:r>
            <w:r>
              <w:rPr>
                <w:rFonts w:ascii="Cambria Math" w:hAnsi="Cambria Math"/>
                <w:b w:val="0"/>
                <w:i w:val="0"/>
                <w:color w:val="141414"/>
                <w:sz w:val="23"/>
              </w:rPr>
              <w:t>) = 4ε</w:t>
            </w:r>
            <w:r>
              <w:rPr>
                <w:rFonts w:ascii="Cambria Math" w:hAnsi="Cambria Math"/>
                <w:b w:val="0"/>
                <w:i/>
                <w:color w:val="141414"/>
                <w:sz w:val="23"/>
                <w:vertAlign w:val="subscript"/>
              </w:rPr>
              <w:t>ij</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12</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6</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(1)</w:t>
            </w:r>
          </w:p>
        </w:tc>
      </w:tr>
    </w:tbl>
    <w:p>
      <w:pPr>
        <w:spacing w:after="40"/>
      </w:pPr>
    </w:p>
    <w:p>
      <w:r>
        <w:rPr>
          <w:rFonts w:ascii="Calibri" w:hAnsi="Calibri"/>
          <w:sz w:val="22"/>
        </w:rPr>
        <w:t>exhibits infinite steepness as r -&gt; 0. When an AI model places two carbon atoms at r = 1.0 Å (compared to equilibrium diameter σ ≈ 3.4 Å), E</w:t>
      </w:r>
      <w:r>
        <w:rPr>
          <w:rFonts w:ascii="Calibri" w:hAnsi="Calibri"/>
          <w:sz w:val="22"/>
        </w:rPr>
        <w:t>_</w:t>
      </w:r>
      <w:r>
        <w:rPr>
          <w:rFonts w:ascii="Calibri" w:hAnsi="Calibri"/>
          <w:sz w:val="22"/>
        </w:rPr>
        <w:t>0 exceeds +10</w:t>
      </w:r>
      <w:r>
        <w:rPr>
          <w:rFonts w:ascii="Calibri" w:hAnsi="Calibri"/>
          <w:sz w:val="22"/>
        </w:rPr>
        <w:t>^</w:t>
      </w:r>
      <w:r>
        <w:rPr>
          <w:rFonts w:ascii="Calibri" w:hAnsi="Calibri"/>
          <w:sz w:val="22"/>
        </w:rPr>
        <w:t>6 kcal/mol. Gradient-based minimizers produce violent force vectors with magnitudes exceeding 10</w:t>
      </w:r>
      <w:r>
        <w:rPr>
          <w:rFonts w:ascii="Calibri" w:hAnsi="Calibri"/>
          <w:sz w:val="22"/>
        </w:rPr>
        <w:t>^</w:t>
      </w:r>
      <w:r>
        <w:rPr>
          <w:rFonts w:ascii="Calibri" w:hAnsi="Calibri"/>
          <w:sz w:val="22"/>
        </w:rPr>
        <w:t>8 kcal/(mol·Å), catastrophically ejecting the ligand completely out of the binding cavity into bulk solution.</w:t>
      </w:r>
    </w:p>
    <w:p>
      <w:pPr>
        <w:pStyle w:val="Heading2"/>
        <w:keepNext/>
        <w:spacing w:before="280" w:after="120"/>
      </w:pPr>
      <w:r>
        <w:rPr>
          <w:b/>
          <w:color w:val="0A9396"/>
          <w:sz w:val="26"/>
        </w:rPr>
        <w:t>1.3 The Core Novelty: Solvation as the Universal High-Speed Thermodynamic Cushion</w:t>
      </w:r>
    </w:p>
    <w:p>
      <w:r>
        <w:rPr>
          <w:rFonts w:ascii="Calibri" w:hAnsi="Calibri"/>
          <w:sz w:val="22"/>
        </w:rPr>
        <w:t>In cellular biology, binding does not take place in an empty vacuum—it is mediated by water. Solvent plays four pivotal roles:</w:t>
        <w:br/>
        <w:t xml:space="preserve">• </w:t>
      </w:r>
      <w:r>
        <w:rPr>
          <w:rFonts w:ascii="Calibri" w:hAnsi="Calibri"/>
          <w:b/>
          <w:sz w:val="22"/>
        </w:rPr>
        <w:t>Dielectric Attenuation</w:t>
      </w:r>
      <w:r>
        <w:rPr>
          <w:rFonts w:ascii="Calibri" w:hAnsi="Calibri"/>
          <w:sz w:val="22"/>
        </w:rPr>
        <w:t>: Water exhibits a bulk relative permittivity of ε</w:t>
      </w:r>
      <w:r>
        <w:rPr>
          <w:rFonts w:ascii="Calibri" w:hAnsi="Calibri"/>
          <w:sz w:val="22"/>
        </w:rPr>
        <w:t>_</w:t>
      </w:r>
      <w:r>
        <w:rPr>
          <w:rFonts w:ascii="Calibri" w:hAnsi="Calibri"/>
          <w:sz w:val="22"/>
        </w:rPr>
        <w:t>r ≈ 78.4. Long-range Coulombic forces that would violently distort molecules in vacuum are damped by almost two orders of magnitude in an aqueous environment.</w:t>
        <w:br/>
        <w:t xml:space="preserve">• </w:t>
      </w:r>
      <w:r>
        <w:rPr>
          <w:rFonts w:ascii="Calibri" w:hAnsi="Calibri"/>
          <w:b/>
          <w:sz w:val="22"/>
        </w:rPr>
        <w:t>Hydrophobic Collapse and Desolvation</w:t>
      </w:r>
      <w:r>
        <w:rPr>
          <w:rFonts w:ascii="Calibri" w:hAnsi="Calibri"/>
          <w:sz w:val="22"/>
        </w:rPr>
        <w:t>: Binding is largely driven by the entropic gain of displacing ordered water molecules from nonpolar binding pockets (ΔG</w:t>
      </w:r>
      <w:r>
        <w:rPr>
          <w:rFonts w:ascii="Calibri" w:hAnsi="Calibri"/>
          <w:sz w:val="22"/>
        </w:rPr>
        <w:t>_</w:t>
      </w:r>
      <w:r>
        <w:rPr>
          <w:rFonts w:ascii="Calibri" w:hAnsi="Calibri"/>
          <w:sz w:val="22"/>
        </w:rPr>
        <w:t>cav ∝ SASA).</w:t>
        <w:br/>
        <w:t xml:space="preserve">• </w:t>
      </w:r>
      <w:r>
        <w:rPr>
          <w:rFonts w:ascii="Calibri" w:hAnsi="Calibri"/>
          <w:b/>
          <w:sz w:val="22"/>
        </w:rPr>
        <w:t>Thermodynamic Cushioning</w:t>
      </w:r>
      <w:r>
        <w:rPr>
          <w:rFonts w:ascii="Calibri" w:hAnsi="Calibri"/>
          <w:sz w:val="22"/>
        </w:rPr>
        <w:t>: Water provides continuous dielectric resistance that prevents charged groups from collapsing into unphysical contacts while guiding nonpolar moieties into complementary van der Waals contact.</w:t>
        <w:br/>
        <w:t xml:space="preserve">• </w:t>
      </w:r>
      <w:r>
        <w:rPr>
          <w:rFonts w:ascii="Calibri" w:hAnsi="Calibri"/>
          <w:b/>
          <w:sz w:val="22"/>
        </w:rPr>
        <w:t>Ultra-Fast Analytical Solvation</w:t>
      </w:r>
      <w:r>
        <w:rPr>
          <w:rFonts w:ascii="Calibri" w:hAnsi="Calibri"/>
          <w:sz w:val="22"/>
        </w:rPr>
        <w:t xml:space="preserve">: By formulating continuum solvation via 3D Fast Fourier Transforms (FFT), FreeSolvE evaluates the complete Poisson dielectric field in </w:t>
      </w:r>
      <w:r>
        <w:rPr>
          <w:rFonts w:ascii="Calibri" w:hAnsi="Calibri"/>
          <w:b/>
          <w:sz w:val="22"/>
        </w:rPr>
        <w:t>under 10 milliseconds</w:t>
      </w:r>
      <w:r>
        <w:rPr>
          <w:rFonts w:ascii="Calibri" w:hAnsi="Calibri"/>
          <w:sz w:val="22"/>
        </w:rPr>
        <w:t>, enabling real-time gradient evaluation during pose optimization on commodity CPUs and mini-batch deep learning training on GPUs.</w:t>
      </w:r>
    </w:p>
    <w:p>
      <w:pPr>
        <w:pStyle w:val="Heading1"/>
        <w:keepNext/>
        <w:spacing w:before="280" w:after="120"/>
      </w:pPr>
      <w:r>
        <w:rPr>
          <w:b/>
          <w:color w:val="005F73"/>
          <w:sz w:val="32"/>
        </w:rPr>
        <w:t>2. Physical Theory and Mathematical Methods</w:t>
      </w:r>
    </w:p>
    <w:p>
      <w:r>
        <w:rPr>
          <w:rFonts w:ascii="Calibri" w:hAnsi="Calibri"/>
          <w:sz w:val="22"/>
        </w:rPr>
        <w:t>FreeSolvE models the protein-ligand system in a hybrid Eulerian-Lagrangian representation: the macromolecular receptor is represented on a discretized spatial dielectric and potential grid Ω ⊂ ℝ</w:t>
      </w:r>
      <w:r>
        <w:rPr>
          <w:rFonts w:ascii="Calibri" w:hAnsi="Calibri"/>
          <w:sz w:val="22"/>
        </w:rPr>
        <w:t>^</w:t>
      </w:r>
      <w:r>
        <w:rPr>
          <w:rFonts w:ascii="Calibri" w:hAnsi="Calibri"/>
          <w:sz w:val="22"/>
        </w:rPr>
        <w:t>3,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rPr>
          <w:rFonts w:ascii="Calibri" w:hAnsi="Calibri"/>
          <w:sz w:val="22"/>
        </w:rPr>
        <w:t>Rather than evaluating expensive pairwise all-atom continuum integrals, FreeSolvE calculates the electrostatic potential Φ(r) of the receptor via the Poisson equation on a uniform Cartesian grid (spacing Δx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 · [ ε(r) ∇Φ(r) ] =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(r) / ε</w:t>
            </w:r>
            <w:r>
              <w:rPr>
                <w:rFonts w:ascii="Cambria Math" w:hAnsi="Cambria Math"/>
                <w:b w:val="0"/>
                <w:i w:val="0"/>
                <w:color w:val="141414"/>
                <w:sz w:val="23"/>
                <w:vertAlign w:val="subscript"/>
              </w:rPr>
              <w:t>0</w:t>
            </w:r>
          </w:p>
        </w:tc>
        <w:tc>
          <w:tcPr>
            <w:tcW w:type="dxa" w:w="1152"/>
            <w:tcBorders>
              <w:top w:val="none"/>
              <w:left w:val="none"/>
              <w:bottom w:val="none"/>
              <w:right w:val="none"/>
            </w:tcBorders>
          </w:tcPr>
          <w:p>
            <w:pPr>
              <w:spacing w:before="80" w:after="80"/>
              <w:jc w:val="right"/>
            </w:pPr>
            <w:r>
              <w:rPr>
                <w:rFonts w:ascii="Calibri" w:hAnsi="Calibri"/>
                <w:b/>
                <w:color w:val="6C757D"/>
                <w:sz w:val="21"/>
              </w:rPr>
              <w:t>(2)</w:t>
            </w:r>
          </w:p>
        </w:tc>
      </w:tr>
    </w:tbl>
    <w:p>
      <w:pPr>
        <w:spacing w:after="40"/>
      </w:pPr>
    </w:p>
    <w:p>
      <w:r>
        <w:rPr>
          <w:rFonts w:ascii="Calibri" w:hAnsi="Calibri"/>
          <w:sz w:val="22"/>
        </w:rPr>
        <w:t>where ρ</w:t>
      </w:r>
      <w:r>
        <w:rPr>
          <w:rFonts w:ascii="Calibri" w:hAnsi="Calibri"/>
          <w:sz w:val="22"/>
        </w:rPr>
        <w:t>_</w:t>
      </w:r>
      <w:r>
        <w:rPr>
          <w:rFonts w:ascii="Calibri" w:hAnsi="Calibri"/>
          <w:sz w:val="22"/>
        </w:rPr>
        <w:t>q(r) is the continuous spatial charge density generated by Gaussian charge splatting with default kernel radius σ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 xml:space="preserve">(r)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i</w:t>
            </w:r>
            <w:r>
              <w:rPr>
                <w:rFonts w:ascii="Cambria Math" w:hAnsi="Cambria Math"/>
                <w:b w:val="0"/>
                <w:i w:val="0"/>
                <w:color w:val="141414"/>
                <w:sz w:val="23"/>
              </w:rPr>
              <w:t xml:space="preserve"> ( 1 / (2πσ</w:t>
            </w:r>
            <w:r>
              <w:rPr>
                <w:rFonts w:ascii="Cambria Math" w:hAnsi="Cambria Math"/>
                <w:b w:val="0"/>
                <w:i w:val="0"/>
                <w:color w:val="141414"/>
                <w:sz w:val="23"/>
                <w:vertAlign w:val="superscript"/>
              </w:rPr>
              <w:t>2</w:t>
            </w:r>
            <w:r>
              <w:rPr>
                <w:rFonts w:ascii="Cambria Math" w:hAnsi="Cambria Math"/>
                <w:b w:val="0"/>
                <w:i w:val="0"/>
                <w:color w:val="141414"/>
                <w:sz w:val="23"/>
              </w:rPr>
              <w:t>)</w:t>
            </w:r>
            <w:r>
              <w:rPr>
                <w:rFonts w:ascii="Cambria Math" w:hAnsi="Cambria Math"/>
                <w:b w:val="0"/>
                <w:i w:val="0"/>
                <w:color w:val="141414"/>
                <w:sz w:val="23"/>
                <w:vertAlign w:val="superscript"/>
              </w:rPr>
              <w:t>3/2</w:t>
            </w:r>
            <w:r>
              <w:rPr>
                <w:rFonts w:ascii="Cambria Math" w:hAnsi="Cambria Math"/>
                <w:b w:val="0"/>
                <w:i w:val="0"/>
                <w:color w:val="141414"/>
                <w:sz w:val="23"/>
              </w:rPr>
              <w:t xml:space="preserve"> ) exp( − ||r − x</w:t>
            </w:r>
            <w:r>
              <w:rPr>
                <w:rFonts w:ascii="Cambria Math" w:hAnsi="Cambria Math"/>
                <w:b w:val="0"/>
                <w:i/>
                <w:color w:val="141414"/>
                <w:sz w:val="23"/>
                <w:vertAlign w:val="subscript"/>
              </w:rPr>
              <w:t>i</w:t>
            </w:r>
            <w:r>
              <w:rPr>
                <w:rFonts w:ascii="Cambria Math" w:hAnsi="Cambria Math"/>
                <w:b w:val="0"/>
                <w:i w:val="0"/>
                <w:color w:val="141414"/>
                <w:sz w:val="23"/>
              </w:rPr>
              <w:t>||</w:t>
            </w:r>
            <w:r>
              <w:rPr>
                <w:rFonts w:ascii="Cambria Math" w:hAnsi="Cambria Math"/>
                <w:b w:val="0"/>
                <w:i w:val="0"/>
                <w:color w:val="141414"/>
                <w:sz w:val="23"/>
                <w:vertAlign w:val="superscript"/>
              </w:rPr>
              <w:t>2</w:t>
            </w:r>
            <w:r>
              <w:rPr>
                <w:rFonts w:ascii="Cambria Math" w:hAnsi="Cambria Math"/>
                <w:b w:val="0"/>
                <w:i w:val="0"/>
                <w:color w:val="141414"/>
                <w:sz w:val="23"/>
              </w:rPr>
              <w:t xml:space="preserve"> / (2σ</w:t>
            </w:r>
            <w:r>
              <w:rPr>
                <w:rFonts w:ascii="Cambria Math" w:hAnsi="Cambria Math"/>
                <w:b w:val="0"/>
                <w:i w:val="0"/>
                <w:color w:val="141414"/>
                <w:sz w:val="23"/>
                <w:vertAlign w:val="superscript"/>
              </w:rPr>
              <w:t>2</w:t>
            </w:r>
            <w:r>
              <w:rPr>
                <w:rFonts w:ascii="Cambria Math" w:hAnsi="Cambria Math"/>
                <w:b w:val="0"/>
                <w:i w:val="0"/>
                <w:color w:val="141414"/>
                <w:sz w:val="23"/>
              </w:rPr>
              <w:t>) )</w:t>
            </w:r>
          </w:p>
        </w:tc>
        <w:tc>
          <w:tcPr>
            <w:tcW w:type="dxa" w:w="1152"/>
            <w:tcBorders>
              <w:top w:val="none"/>
              <w:left w:val="none"/>
              <w:bottom w:val="none"/>
              <w:right w:val="none"/>
            </w:tcBorders>
          </w:tcPr>
          <w:p>
            <w:pPr>
              <w:spacing w:before="80" w:after="80"/>
              <w:jc w:val="right"/>
            </w:pPr>
            <w:r>
              <w:rPr>
                <w:rFonts w:ascii="Calibri" w:hAnsi="Calibri"/>
                <w:b/>
                <w:color w:val="6C757D"/>
                <w:sz w:val="21"/>
              </w:rPr>
              <w:t>(3)</w:t>
            </w:r>
          </w:p>
        </w:tc>
      </w:tr>
    </w:tbl>
    <w:p>
      <w:pPr>
        <w:spacing w:after="40"/>
      </w:pPr>
    </w:p>
    <w:p>
      <w:r>
        <w:rPr>
          <w:rFonts w:ascii="Calibri" w:hAnsi="Calibri"/>
          <w:sz w:val="22"/>
        </w:rPr>
        <w:t>In Fourier space, Green's function convolution yields the potential in closed form:</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Φ̂(k)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(k) / ( ε</w:t>
            </w:r>
            <w:r>
              <w:rPr>
                <w:rFonts w:ascii="Cambria Math" w:hAnsi="Cambria Math"/>
                <w:b w:val="0"/>
                <w:i w:val="0"/>
                <w:color w:val="141414"/>
                <w:sz w:val="23"/>
                <w:vertAlign w:val="subscript"/>
              </w:rPr>
              <w:t>0</w:t>
            </w:r>
            <w:r>
              <w:rPr>
                <w:rFonts w:ascii="Cambria Math" w:hAnsi="Cambria Math"/>
                <w:b w:val="0"/>
                <w:i w:val="0"/>
                <w:color w:val="141414"/>
                <w:sz w:val="23"/>
              </w:rPr>
              <w:t xml:space="preserve"> · ε</w:t>
            </w:r>
            <w:r>
              <w:rPr>
                <w:rFonts w:ascii="Cambria Math" w:hAnsi="Cambria Math"/>
                <w:b w:val="0"/>
                <w:i w:val="0"/>
                <w:color w:val="141414"/>
                <w:sz w:val="23"/>
                <w:vertAlign w:val="subscript"/>
              </w:rPr>
              <w:t>eff</w:t>
            </w:r>
            <w:r>
              <w:rPr>
                <w:rFonts w:ascii="Cambria Math" w:hAnsi="Cambria Math"/>
                <w:b w:val="0"/>
                <w:i w:val="0"/>
                <w:color w:val="141414"/>
                <w:sz w:val="23"/>
              </w:rPr>
              <w:t xml:space="preserve"> · ||k||</w:t>
            </w:r>
            <w:r>
              <w:rPr>
                <w:rFonts w:ascii="Cambria Math" w:hAnsi="Cambria Math"/>
                <w:b w:val="0"/>
                <w:i w:val="0"/>
                <w:color w:val="141414"/>
                <w:sz w:val="23"/>
                <w:vertAlign w:val="superscript"/>
              </w:rPr>
              <w:t>2</w:t>
            </w:r>
            <w:r>
              <w:rPr>
                <w:rFonts w:ascii="Cambria Math" w:hAnsi="Cambria Math"/>
                <w:b w:val="0"/>
                <w:i w:val="0"/>
                <w:color w:val="141414"/>
                <w:sz w:val="23"/>
              </w:rPr>
              <w:t xml:space="preserve"> ),     Φ(r) = ℱ</w:t>
            </w:r>
            <w:r>
              <w:rPr>
                <w:rFonts w:ascii="Cambria Math" w:hAnsi="Cambria Math"/>
                <w:b w:val="0"/>
                <w:i w:val="0"/>
                <w:color w:val="141414"/>
                <w:sz w:val="23"/>
                <w:vertAlign w:val="superscript"/>
              </w:rPr>
              <w:t>−1</w:t>
            </w:r>
            <w:r>
              <w:rPr>
                <w:rFonts w:ascii="Cambria Math" w:hAnsi="Cambria Math"/>
                <w:b w:val="0"/>
                <w:i w:val="0"/>
                <w:color w:val="141414"/>
                <w:sz w:val="23"/>
              </w:rPr>
              <w:t>{ Φ̂(k) }</w:t>
            </w:r>
          </w:p>
        </w:tc>
        <w:tc>
          <w:tcPr>
            <w:tcW w:type="dxa" w:w="1152"/>
            <w:tcBorders>
              <w:top w:val="none"/>
              <w:left w:val="none"/>
              <w:bottom w:val="none"/>
              <w:right w:val="none"/>
            </w:tcBorders>
          </w:tcPr>
          <w:p>
            <w:pPr>
              <w:spacing w:before="80" w:after="80"/>
              <w:jc w:val="right"/>
            </w:pPr>
            <w:r>
              <w:rPr>
                <w:rFonts w:ascii="Calibri" w:hAnsi="Calibri"/>
                <w:b/>
                <w:color w:val="6C757D"/>
                <w:sz w:val="21"/>
              </w:rPr>
              <w:t>(4)</w:t>
            </w:r>
          </w:p>
        </w:tc>
      </w:tr>
    </w:tbl>
    <w:p>
      <w:pPr>
        <w:spacing w:after="40"/>
      </w:pPr>
    </w:p>
    <w:p>
      <w:r>
        <w:rPr>
          <w:rFonts w:ascii="Calibri" w:hAnsi="Calibri"/>
          <w:sz w:val="22"/>
        </w:rPr>
        <w:t xml:space="preserve">The electric field is obtained via analytical grid differentiation: E(r) = -∇Φ(r). On commodity multicore CPUs, this 3D FFT convolution executes in </w:t>
      </w:r>
      <w:r>
        <w:rPr>
          <w:rFonts w:ascii="Calibri" w:hAnsi="Calibri"/>
          <w:b/>
          <w:sz w:val="22"/>
        </w:rPr>
        <w:t>less than 8 milliseconds</w:t>
      </w:r>
      <w:r>
        <w:rPr>
          <w:rFonts w:ascii="Calibri" w:hAnsi="Calibri"/>
          <w:sz w:val="22"/>
        </w:rPr>
        <w:t>, delivering orders-of-magnitude speedups over classical Poisson-Boltzmann boundary-element or finite-difference multigrid solvers. The electrostatic interaction between the receptor grid and the articulated ligand atoms is then evaluated by continuous trilinear interpolation of Φ(r) at the ligand coordinates x</w:t>
      </w:r>
      <w:r>
        <w:rPr>
          <w:rFonts w:ascii="Calibri" w:hAnsi="Calibri"/>
          <w:sz w:val="22"/>
        </w:rPr>
        <w:t>_</w:t>
      </w:r>
      <w:r>
        <w:rPr>
          <w:rFonts w:ascii="Calibri" w:hAnsi="Calibri"/>
          <w:sz w:val="22"/>
        </w:rPr>
        <w:t>j:</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elec</w:t>
            </w:r>
            <w:r>
              <w:rPr>
                <w:rFonts w:ascii="Cambria Math" w:hAnsi="Cambria Math"/>
                <w:b w:val="0"/>
                <w:i w:val="0"/>
                <w:color w:val="141414"/>
                <w:sz w:val="23"/>
              </w:rPr>
              <w:t xml:space="preserve">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j</w:t>
            </w:r>
            <w:r>
              <w:rPr>
                <w:rFonts w:ascii="Cambria Math" w:hAnsi="Cambria Math"/>
                <w:b w:val="0"/>
                <w:i w:val="0"/>
                <w:color w:val="141414"/>
                <w:sz w:val="23"/>
              </w:rPr>
              <w:t xml:space="preserve"> · Φ(x</w:t>
            </w:r>
            <w:r>
              <w:rPr>
                <w:rFonts w:ascii="Cambria Math" w:hAnsi="Cambria Math"/>
                <w:b w:val="0"/>
                <w:i/>
                <w:color w:val="141414"/>
                <w:sz w:val="23"/>
                <w:vertAlign w:val="subscript"/>
              </w:rPr>
              <w:t>lig, 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(5)</w:t>
            </w:r>
          </w:p>
        </w:tc>
      </w:tr>
    </w:tbl>
    <w:p>
      <w:pPr>
        <w:spacing w:after="40"/>
      </w:pPr>
    </w:p>
    <w:p>
      <w:pPr>
        <w:pStyle w:val="Heading2"/>
        <w:keepNext/>
        <w:spacing w:before="280" w:after="120"/>
      </w:pPr>
      <w:r>
        <w:rPr>
          <w:b/>
          <w:color w:val="0A9396"/>
          <w:sz w:val="26"/>
        </w:rPr>
        <w:t>2.2 Desolvation and Hydrophobic Cavity Potential</w:t>
      </w:r>
    </w:p>
    <w:p>
      <w:r>
        <w:rPr>
          <w:rFonts w:ascii="Calibri" w:hAnsi="Calibri"/>
          <w:sz w:val="22"/>
        </w:rPr>
        <w:t>The non-polar hydrophobic contribution to solvation free energy is modeled proportional to the solvent-accessible surface area (SASA) and local density displacement:</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ΔG</w:t>
            </w:r>
            <w:r>
              <w:rPr>
                <w:rFonts w:ascii="Cambria Math" w:hAnsi="Cambria Math"/>
                <w:b w:val="0"/>
                <w:i w:val="0"/>
                <w:color w:val="141414"/>
                <w:sz w:val="23"/>
                <w:vertAlign w:val="subscript"/>
              </w:rPr>
              <w:t>cav</w:t>
            </w:r>
            <w:r>
              <w:rPr>
                <w:rFonts w:ascii="Cambria Math" w:hAnsi="Cambria Math"/>
                <w:b w:val="0"/>
                <w:i w:val="0"/>
                <w:color w:val="141414"/>
                <w:sz w:val="23"/>
              </w:rPr>
              <w:t xml:space="preserve"> = γ </w:t>
            </w:r>
            <w:r>
              <w:rPr>
                <w:rFonts w:ascii="Cambria Math" w:hAnsi="Cambria Math"/>
                <w:b/>
                <w:i w:val="0"/>
                <w:color w:val="141414"/>
                <w:sz w:val="23"/>
              </w:rPr>
              <w:t>∑</w:t>
            </w:r>
            <w:r>
              <w:rPr>
                <w:rFonts w:ascii="Cambria Math" w:hAnsi="Cambria Math"/>
                <w:b w:val="0"/>
                <w:i/>
                <w:color w:val="141414"/>
                <w:sz w:val="23"/>
              </w:rPr>
              <w:t xml:space="preserve"> A</w:t>
            </w:r>
            <w:r>
              <w:rPr>
                <w:rFonts w:ascii="Cambria Math" w:hAnsi="Cambria Math"/>
                <w:b w:val="0"/>
                <w:i/>
                <w:color w:val="141414"/>
                <w:sz w:val="23"/>
                <w:vertAlign w:val="subscript"/>
              </w:rPr>
              <w:t>j</w:t>
            </w:r>
            <w:r>
              <w:rPr>
                <w:rFonts w:ascii="Cambria Math" w:hAnsi="Cambria Math"/>
                <w:b w:val="0"/>
                <w:i/>
                <w:color w:val="141414"/>
                <w:sz w:val="23"/>
              </w:rPr>
              <w:t xml:space="preserve"> · Π</w:t>
            </w:r>
            <w:r>
              <w:rPr>
                <w:rFonts w:ascii="Cambria Math" w:hAnsi="Cambria Math"/>
                <w:b w:val="0"/>
                <w:i w:val="0"/>
                <w:color w:val="141414"/>
                <w:sz w:val="23"/>
                <w:vertAlign w:val="subscript"/>
              </w:rPr>
              <w:t>pocket</w:t>
            </w:r>
            <w:r>
              <w:rPr>
                <w:rFonts w:ascii="Cambria Math" w:hAnsi="Cambria Math"/>
                <w:b w:val="0"/>
                <w:i w:val="0"/>
                <w:color w:val="141414"/>
                <w:sz w:val="23"/>
              </w:rPr>
              <w:t>(x</w:t>
            </w:r>
            <w:r>
              <w:rPr>
                <w:rFonts w:ascii="Cambria Math" w:hAnsi="Cambria Math"/>
                <w:b w:val="0"/>
                <w:i/>
                <w:color w:val="141414"/>
                <w:sz w:val="23"/>
                <w:vertAlign w:val="subscript"/>
              </w:rPr>
              <w:t>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(6)</w:t>
            </w:r>
          </w:p>
        </w:tc>
      </w:tr>
    </w:tbl>
    <w:p>
      <w:pPr>
        <w:spacing w:after="40"/>
      </w:pPr>
    </w:p>
    <w:p>
      <w:r>
        <w:rPr>
          <w:rFonts w:ascii="Calibri" w:hAnsi="Calibri"/>
          <w:sz w:val="22"/>
        </w:rPr>
        <w:t>where γ is the microscopic surface tension parameter, A</w:t>
      </w:r>
      <w:r>
        <w:rPr>
          <w:rFonts w:ascii="Calibri" w:hAnsi="Calibri"/>
          <w:sz w:val="22"/>
        </w:rPr>
        <w:t>_</w:t>
      </w:r>
      <w:r>
        <w:rPr>
          <w:rFonts w:ascii="Calibri" w:hAnsi="Calibri"/>
          <w:sz w:val="22"/>
        </w:rPr>
        <w:t>j = 4π (R</w:t>
      </w:r>
      <w:r>
        <w:rPr>
          <w:rFonts w:ascii="Calibri" w:hAnsi="Calibri"/>
          <w:sz w:val="22"/>
        </w:rPr>
        <w:t>_</w:t>
      </w:r>
      <w:r>
        <w:rPr>
          <w:rFonts w:ascii="Calibri" w:hAnsi="Calibri"/>
          <w:sz w:val="22"/>
        </w:rPr>
        <w:t>j + r</w:t>
      </w:r>
      <w:r>
        <w:rPr>
          <w:rFonts w:ascii="Calibri" w:hAnsi="Calibri"/>
          <w:sz w:val="22"/>
        </w:rPr>
        <w:t>_probe)</w:t>
      </w:r>
      <w:r>
        <w:rPr>
          <w:rFonts w:ascii="Calibri" w:hAnsi="Calibri"/>
          <w:sz w:val="22"/>
          <w:vertAlign w:val="superscript"/>
        </w:rPr>
        <w:t>2</w:t>
      </w:r>
      <w:r>
        <w:rPr>
          <w:rFonts w:ascii="Calibri" w:hAnsi="Calibri"/>
          <w:sz w:val="22"/>
        </w:rPr>
        <w:t xml:space="preserve"> is the atomic solvent exposure sphere (probe radius r</w:t>
      </w:r>
      <w:r>
        <w:rPr>
          <w:rFonts w:ascii="Calibri" w:hAnsi="Calibri"/>
          <w:sz w:val="22"/>
        </w:rPr>
        <w:t>_</w:t>
      </w:r>
      <w:r>
        <w:rPr>
          <w:rFonts w:ascii="Calibri" w:hAnsi="Calibri"/>
          <w:sz w:val="22"/>
        </w:rPr>
        <w:t>probe = 1.4 Å), and Π</w:t>
      </w:r>
      <w:r>
        <w:rPr>
          <w:rFonts w:ascii="Calibri" w:hAnsi="Calibri"/>
          <w:sz w:val="22"/>
        </w:rPr>
        <w:t>_</w:t>
      </w:r>
      <w:r>
        <w:rPr>
          <w:rFonts w:ascii="Calibri" w:hAnsi="Calibri"/>
          <w:sz w:val="22"/>
        </w:rPr>
        <w:t>pocket(x) is the continuous receptor envelope density function. This term penalizes unburied nonpolar atoms in bulk solvent while favorably rewarding nonpolar burial into the hydrophobic pocket.</w:t>
      </w:r>
    </w:p>
    <w:p>
      <w:pPr>
        <w:pStyle w:val="Heading2"/>
        <w:keepNext/>
        <w:spacing w:before="280" w:after="120"/>
      </w:pPr>
      <w:r>
        <w:rPr>
          <w:b/>
          <w:color w:val="0A9396"/>
          <w:sz w:val="26"/>
        </w:rPr>
        <w:t>2.3 Continuous Soft-Core van der Waals Potential and Analytical Gradients</w:t>
      </w:r>
    </w:p>
    <w:p>
      <w:r>
        <w:rPr>
          <w:rFonts w:ascii="Calibri" w:hAnsi="Calibri"/>
          <w:sz w:val="22"/>
        </w:rPr>
        <w:t>To eliminate the r</w:t>
      </w:r>
      <w:r>
        <w:rPr>
          <w:rFonts w:ascii="Calibri" w:hAnsi="Calibri"/>
          <w:sz w:val="22"/>
        </w:rPr>
        <w:t>^</w:t>
      </w:r>
      <w:r>
        <w:rPr>
          <w:rFonts w:ascii="Calibri" w:hAnsi="Calibri"/>
          <w:sz w:val="22"/>
        </w:rPr>
        <w:t>-12 singularity that destabilizes conventional forcefields during clash resolution, FreeSolvE introduces a C</w:t>
      </w:r>
      <w:r>
        <w:rPr>
          <w:rFonts w:ascii="Calibri" w:hAnsi="Calibri"/>
          <w:sz w:val="22"/>
        </w:rPr>
        <w:t>^</w:t>
      </w:r>
      <w:r>
        <w:rPr>
          <w:rFonts w:ascii="Calibri" w:hAnsi="Calibri"/>
          <w:sz w:val="22"/>
        </w:rPr>
        <w:t>1-continuous logarithmic soft-capping function. When interatomic repulsion exceeds E</w:t>
      </w:r>
      <w:r>
        <w:rPr>
          <w:rFonts w:ascii="Calibri" w:hAnsi="Calibri"/>
          <w:sz w:val="22"/>
        </w:rPr>
        <w:t>_</w:t>
      </w:r>
      <w:r>
        <w:rPr>
          <w:rFonts w:ascii="Calibri" w:hAnsi="Calibri"/>
          <w:sz w:val="22"/>
        </w:rPr>
        <w:t>cap = 25.0 kcal/mol (typically r &lt; 2.2 Å), the potential is smoothly capped:</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s</w:t>
            </w:r>
            <w:r>
              <w:rPr>
                <w:rFonts w:ascii="Cambria Math" w:hAnsi="Cambria Math"/>
                <w:b w:val="0"/>
                <w:i w:val="0"/>
                <w:color w:val="141414"/>
                <w:sz w:val="23"/>
                <w:vertAlign w:val="subscript"/>
              </w:rPr>
              <w:t>0</w:t>
            </w:r>
            <w:r>
              <w:rPr>
                <w:rFonts w:ascii="Cambria Math" w:hAnsi="Cambria Math"/>
                <w:b w:val="0"/>
                <w:i w:val="0"/>
                <w:color w:val="141414"/>
                <w:sz w:val="23"/>
              </w:rPr>
              <w:t xml:space="preserve"> · ln( 1 + [ E</w:t>
            </w:r>
            <w:r>
              <w:rPr>
                <w:rFonts w:ascii="Cambria Math" w:hAnsi="Cambria Math"/>
                <w:b w:val="0"/>
                <w:i w:val="0"/>
                <w:color w:val="141414"/>
                <w:sz w:val="23"/>
                <w:vertAlign w:val="subscript"/>
              </w:rPr>
              <w:t>0</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 s</w:t>
            </w:r>
            <w:r>
              <w:rPr>
                <w:rFonts w:ascii="Cambria Math" w:hAnsi="Cambria Math"/>
                <w:b w:val="0"/>
                <w:i w:val="0"/>
                <w:color w:val="141414"/>
                <w:sz w:val="23"/>
                <w:vertAlign w:val="subscript"/>
              </w:rPr>
              <w:t>0</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(7)</w:t>
            </w:r>
          </w:p>
        </w:tc>
      </w:tr>
    </w:tbl>
    <w:p>
      <w:pPr>
        <w:spacing w:after="40"/>
      </w:pPr>
    </w:p>
    <w:p>
      <w:r>
        <w:rPr>
          <w:rFonts w:ascii="Calibri" w:hAnsi="Calibri"/>
          <w:sz w:val="22"/>
        </w:rPr>
        <w:t>with scaling factor s</w:t>
      </w:r>
      <w:r>
        <w:rPr>
          <w:rFonts w:ascii="Calibri" w:hAnsi="Calibri"/>
          <w:sz w:val="22"/>
        </w:rPr>
        <w:t>_</w:t>
      </w:r>
      <w:r>
        <w:rPr>
          <w:rFonts w:ascii="Calibri" w:hAnsi="Calibri"/>
          <w:sz w:val="22"/>
        </w:rPr>
        <w:t>0 = 20.0 kcal/mol. Crucially, the analytical spatial gradient is strictly non-zero everywhere:</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[ 1 / ( 1 + (E</w:t>
            </w:r>
            <w:r>
              <w:rPr>
                <w:rFonts w:ascii="Cambria Math" w:hAnsi="Cambria Math"/>
                <w:b w:val="0"/>
                <w:i w:val="0"/>
                <w:color w:val="141414"/>
                <w:sz w:val="23"/>
                <w:vertAlign w:val="subscript"/>
              </w:rPr>
              <w:t>0</w:t>
            </w:r>
            <w:r>
              <w:rPr>
                <w:rFonts w:ascii="Cambria Math" w:hAnsi="Cambria Math"/>
                <w:b w:val="0"/>
                <w:i w:val="0"/>
                <w:color w:val="141414"/>
                <w:sz w:val="23"/>
              </w:rPr>
              <w:t xml:space="preserve"> − E</w:t>
            </w:r>
            <w:r>
              <w:rPr>
                <w:rFonts w:ascii="Cambria Math" w:hAnsi="Cambria Math"/>
                <w:b w:val="0"/>
                <w:i w:val="0"/>
                <w:color w:val="141414"/>
                <w:sz w:val="23"/>
                <w:vertAlign w:val="subscript"/>
              </w:rPr>
              <w:t>cap</w:t>
            </w:r>
            <w:r>
              <w:rPr>
                <w:rFonts w:ascii="Cambria Math" w:hAnsi="Cambria Math"/>
                <w:b w:val="0"/>
                <w:i w:val="0"/>
                <w:color w:val="141414"/>
                <w:sz w:val="23"/>
              </w:rPr>
              <w:t>) / s</w:t>
            </w:r>
            <w:r>
              <w:rPr>
                <w:rFonts w:ascii="Cambria Math" w:hAnsi="Cambria Math"/>
                <w:b w:val="0"/>
                <w:i w:val="0"/>
                <w:color w:val="141414"/>
                <w:sz w:val="23"/>
                <w:vertAlign w:val="subscript"/>
              </w:rPr>
              <w:t>0</w:t>
            </w:r>
            <w:r>
              <w:rPr>
                <w:rFonts w:ascii="Cambria Math" w:hAnsi="Cambria Math"/>
                <w:b w:val="0"/>
                <w:i w:val="0"/>
                <w:color w:val="141414"/>
                <w:sz w:val="23"/>
              </w:rPr>
              <w:t>) ] · ( ∂E</w:t>
            </w:r>
            <w:r>
              <w:rPr>
                <w:rFonts w:ascii="Cambria Math" w:hAnsi="Cambria Math"/>
                <w:b w:val="0"/>
                <w:i w:val="0"/>
                <w:color w:val="141414"/>
                <w:sz w:val="23"/>
                <w:vertAlign w:val="subscript"/>
              </w:rPr>
              <w:t>0</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0</w:t>
            </w:r>
          </w:p>
        </w:tc>
        <w:tc>
          <w:tcPr>
            <w:tcW w:type="dxa" w:w="1152"/>
            <w:tcBorders>
              <w:top w:val="none"/>
              <w:left w:val="none"/>
              <w:bottom w:val="none"/>
              <w:right w:val="none"/>
            </w:tcBorders>
          </w:tcPr>
          <w:p>
            <w:pPr>
              <w:spacing w:before="80" w:after="80"/>
              <w:jc w:val="right"/>
            </w:pPr>
            <w:r>
              <w:rPr>
                <w:rFonts w:ascii="Calibri" w:hAnsi="Calibri"/>
                <w:b/>
                <w:color w:val="6C757D"/>
                <w:sz w:val="21"/>
              </w:rPr>
              <w:t>(8)</w:t>
            </w:r>
          </w:p>
        </w:tc>
      </w:tr>
    </w:tbl>
    <w:p>
      <w:pPr>
        <w:spacing w:after="40"/>
      </w:pPr>
    </w:p>
    <w:p>
      <w:r>
        <w:rPr>
          <w:rFonts w:ascii="Calibri" w:hAnsi="Calibri"/>
          <w:sz w:val="22"/>
        </w:rPr>
        <w:t>Unlike naive threshold clipping (</w:t>
      </w:r>
      <w:r>
        <w:rPr>
          <w:rFonts w:ascii="Consolas" w:hAnsi="Consolas"/>
          <w:color w:val="005F73"/>
          <w:sz w:val="20"/>
        </w:rPr>
        <w:t>torch.clamp(E, max=25.0)</w:t>
      </w:r>
      <w:r>
        <w:rPr>
          <w:rFonts w:ascii="Calibri" w:hAnsi="Calibri"/>
          <w:sz w:val="22"/>
        </w:rPr>
        <w:t>), which zeroes out the gradient (∂E / ∂r = 0) and leaves atoms permanently stuck in clash overlap, the logarithmic soft-core potential maintains a monotonically increasing repulsive gradient that steadily drives clashing atoms apart without violent numerical explosions.</w:t>
      </w:r>
    </w:p>
    <w:p>
      <w:pPr>
        <w:pStyle w:val="Heading2"/>
        <w:keepNext/>
        <w:spacing w:before="280" w:after="120"/>
      </w:pPr>
      <w:r>
        <w:rPr>
          <w:b/>
          <w:color w:val="0A9396"/>
          <w:sz w:val="26"/>
        </w:rPr>
        <w:t>2.4 Differentiable Articulated Forward Kinematics</w:t>
      </w:r>
    </w:p>
    <w:p>
      <w:r>
        <w:rPr>
          <w:rFonts w:ascii="Calibri" w:hAnsi="Calibri"/>
          <w:sz w:val="22"/>
        </w:rPr>
        <w:t>FreeSolvE parameterizes the ligand strictly by its rigid-body degrees of freedom and rotatable bonds: p = (T, ω, θ) ∈ ℝ</w:t>
      </w:r>
      <w:r>
        <w:rPr>
          <w:rFonts w:ascii="Calibri" w:hAnsi="Calibri"/>
          <w:sz w:val="22"/>
        </w:rPr>
        <w:t>^</w:t>
      </w:r>
      <w:r>
        <w:rPr>
          <w:rFonts w:ascii="Calibri" w:hAnsi="Calibri"/>
          <w:sz w:val="22"/>
        </w:rPr>
        <w:t>3 × 𝔰𝔬(3) × 𝕋</w:t>
      </w:r>
      <w:r>
        <w:rPr>
          <w:rFonts w:ascii="Calibri" w:hAnsi="Calibri"/>
          <w:sz w:val="22"/>
        </w:rPr>
        <w:t>^</w:t>
      </w:r>
      <w:r>
        <w:rPr>
          <w:rFonts w:ascii="Calibri" w:hAnsi="Calibri"/>
          <w:sz w:val="22"/>
        </w:rPr>
        <w:t>k, where T ∈ ℝ</w:t>
      </w:r>
      <w:r>
        <w:rPr>
          <w:rFonts w:ascii="Calibri" w:hAnsi="Calibri"/>
          <w:sz w:val="22"/>
        </w:rPr>
        <w:t>^</w:t>
      </w:r>
      <w:r>
        <w:rPr>
          <w:rFonts w:ascii="Calibri" w:hAnsi="Calibri"/>
          <w:sz w:val="22"/>
        </w:rPr>
        <w:t>3 is translation, ω ∈ 𝔰𝔬(3) is mapped to SO(3) via the matrix exponential: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R = exp(ω</w:t>
            </w:r>
            <w:r>
              <w:rPr>
                <w:rFonts w:ascii="Cambria Math" w:hAnsi="Cambria Math"/>
                <w:b w:val="0"/>
                <w:i w:val="0"/>
                <w:color w:val="141414"/>
                <w:sz w:val="23"/>
                <w:vertAlign w:val="subscript"/>
              </w:rPr>
              <w:t>×</w:t>
            </w:r>
            <w:r>
              <w:rPr>
                <w:rFonts w:ascii="Cambria Math" w:hAnsi="Cambria Math"/>
                <w:b w:val="0"/>
                <w:i w:val="0"/>
                <w:color w:val="141414"/>
                <w:sz w:val="23"/>
              </w:rPr>
              <w:t>) = I + [ sin||ω|| / ||ω|| ] ω</w:t>
            </w:r>
            <w:r>
              <w:rPr>
                <w:rFonts w:ascii="Cambria Math" w:hAnsi="Cambria Math"/>
                <w:b w:val="0"/>
                <w:i w:val="0"/>
                <w:color w:val="141414"/>
                <w:sz w:val="23"/>
                <w:vertAlign w:val="subscript"/>
              </w:rPr>
              <w:t>×</w:t>
            </w:r>
            <w:r>
              <w:rPr>
                <w:rFonts w:ascii="Cambria Math" w:hAnsi="Cambria Math"/>
                <w:b w:val="0"/>
                <w:i w:val="0"/>
                <w:color w:val="141414"/>
                <w:sz w:val="23"/>
              </w:rPr>
              <w:t xml:space="preserve"> + [ (1 − cos||ω||) / ||ω||</w:t>
            </w:r>
            <w:r>
              <w:rPr>
                <w:rFonts w:ascii="Cambria Math" w:hAnsi="Cambria Math"/>
                <w:b w:val="0"/>
                <w:i w:val="0"/>
                <w:color w:val="141414"/>
                <w:sz w:val="23"/>
                <w:vertAlign w:val="superscript"/>
              </w:rPr>
              <w:t>2</w:t>
            </w:r>
            <w:r>
              <w:rPr>
                <w:rFonts w:ascii="Cambria Math" w:hAnsi="Cambria Math"/>
                <w:b w:val="0"/>
                <w:i w:val="0"/>
                <w:color w:val="141414"/>
                <w:sz w:val="23"/>
              </w:rPr>
              <w:t xml:space="preserve"> ] ω</w:t>
            </w:r>
            <w:r>
              <w:rPr>
                <w:rFonts w:ascii="Cambria Math" w:hAnsi="Cambria Math"/>
                <w:b w:val="0"/>
                <w:i w:val="0"/>
                <w:color w:val="141414"/>
                <w:sz w:val="23"/>
                <w:vertAlign w:val="subscript"/>
              </w:rPr>
              <w:t>×</w:t>
            </w:r>
            <w:r>
              <w:rPr>
                <w:rFonts w:ascii="Cambria Math" w:hAnsi="Cambria Math"/>
                <w:b w:val="0"/>
                <w:i w:val="0"/>
                <w:color w:val="141414"/>
                <w:sz w:val="23"/>
                <w:vertAlign w:val="superscript"/>
              </w:rPr>
              <w:t>2</w:t>
            </w:r>
          </w:p>
        </w:tc>
        <w:tc>
          <w:tcPr>
            <w:tcW w:type="dxa" w:w="1152"/>
            <w:tcBorders>
              <w:top w:val="none"/>
              <w:left w:val="none"/>
              <w:bottom w:val="none"/>
              <w:right w:val="none"/>
            </w:tcBorders>
          </w:tcPr>
          <w:p>
            <w:pPr>
              <w:spacing w:before="80" w:after="80"/>
              <w:jc w:val="right"/>
            </w:pPr>
            <w:r>
              <w:rPr>
                <w:rFonts w:ascii="Calibri" w:hAnsi="Calibri"/>
                <w:b/>
                <w:color w:val="6C757D"/>
                <w:sz w:val="21"/>
              </w:rPr>
              <w:t>(9)</w:t>
            </w:r>
          </w:p>
        </w:tc>
      </w:tr>
    </w:tbl>
    <w:p>
      <w:pPr>
        <w:spacing w:after="40"/>
      </w:pPr>
    </w:p>
    <w:p>
      <w:r>
        <w:rPr>
          <w:rFonts w:ascii="Calibri" w:hAnsi="Calibri"/>
          <w:sz w:val="22"/>
        </w:rPr>
        <w:t>guaranteeing strict orthogonality (R</w:t>
      </w:r>
      <w:r>
        <w:rPr>
          <w:rFonts w:ascii="Calibri" w:hAnsi="Calibri"/>
          <w:sz w:val="22"/>
        </w:rPr>
        <w:t>^</w:t>
      </w:r>
      <w:r>
        <w:rPr>
          <w:rFonts w:ascii="Calibri" w:hAnsi="Calibri"/>
          <w:sz w:val="22"/>
        </w:rPr>
        <w:t xml:space="preserve">T R = I) without quaternion normalization drift. Atomic Cartesian coordinates are reconstructed via recursive forward kinematics using Rodrigues' rotation formula. Because all bond lengths and valence angles are constant parameters of the topological DAG, </w:t>
      </w:r>
      <w:r>
        <w:rPr>
          <w:rFonts w:ascii="Calibri" w:hAnsi="Calibri"/>
          <w:b/>
          <w:sz w:val="22"/>
        </w:rPr>
        <w:t>covalent geometry is 100% invariant throughout optimization by mathematical construction</w:t>
      </w:r>
      <w:r>
        <w:rPr>
          <w:rFonts w:ascii="Calibri" w:hAnsi="Calibri"/>
          <w:sz w:val="22"/>
        </w:rPr>
        <w:t>.</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on standard CPU hardware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rPr>
          <w:rFonts w:ascii="Calibri" w:hAnsi="Calibri"/>
          <w:sz w:val="22"/>
        </w:rPr>
        <w:t>To establish an unassailable baseline, we retrieved the official PoseBusters validation package (Zenodo DOI: 10.5281/zenodo.8278563) comprising high-resolution co-crystal structures across diverse protein families. We selected 50 diverse targets (spanning PDB IDs 5S8I</w:t>
      </w:r>
      <w:r>
        <w:rPr>
          <w:rFonts w:ascii="Calibri" w:hAnsi="Calibri"/>
          <w:sz w:val="22"/>
        </w:rPr>
        <w:t>_</w:t>
      </w:r>
      <w:r>
        <w:rPr>
          <w:rFonts w:ascii="Calibri" w:hAnsi="Calibri"/>
          <w:sz w:val="22"/>
        </w:rPr>
        <w:t>2LY through 7A9E</w:t>
      </w:r>
      <w:r>
        <w:rPr>
          <w:rFonts w:ascii="Calibri" w:hAnsi="Calibri"/>
          <w:sz w:val="22"/>
        </w:rPr>
        <w:t>_</w:t>
      </w:r>
      <w:r>
        <w:rPr>
          <w:rFonts w:ascii="Calibri" w:hAnsi="Calibri"/>
          <w:sz w:val="22"/>
        </w:rPr>
        <w:t>R4W, containing ligands ranging from 6 to 44 heavy atoms). Each complex was refined using FreeSolvE's differentiable optimizer for 100 steps on a single standard 8-core CPU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 (CPU)</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Commodity CPU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on a standard CPU,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 (Standard CPU)</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(CPU)</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160"/>
      </w:pPr>
    </w:p>
    <w:p>
      <w:r>
        <w:rPr>
          <w:rFonts w:ascii="Calibri" w:hAnsi="Calibri"/>
          <w:b/>
          <w:sz w:val="22"/>
        </w:rPr>
        <w:t>Understanding the 52.0% Pass Rate</w:t>
      </w:r>
      <w:r>
        <w:rPr>
          <w:rFonts w:ascii="Calibri" w:hAnsi="Calibri"/>
          <w:sz w:val="22"/>
        </w:rPr>
        <w:t>: The increase from 2.0% to 52.0% represents a dramatic leap over existing generative models. For the remaining 24 targets, inspection reveals that steric relief would require protein backbone relaxation ('pocket breathing') or stereocenter inversion—degrees of freedom deliberately excluded in FreeSolvE to guarantee that receptor structures and ligand chiralities remain strictly invariant.</w:t>
      </w:r>
    </w:p>
    <w:p>
      <w:pPr>
        <w:pStyle w:val="Heading2"/>
        <w:keepNext/>
        <w:spacing w:before="280" w:after="120"/>
      </w:pPr>
      <w:r>
        <w:rPr>
          <w:b/>
          <w:color w:val="0A9396"/>
          <w:sz w:val="26"/>
        </w:rPr>
        <w:t>3.2 Ultra-Fast Deep Learning Training Ablation</w:t>
      </w:r>
    </w:p>
    <w:p>
      <w:r>
        <w:rPr>
          <w:rFonts w:ascii="Calibri" w:hAnsi="Calibri"/>
          <w:sz w:val="22"/>
        </w:rPr>
        <w:t>To determine whether FreeSolvE can act directly as a real-time loss function during neural network training without causing computational bottlenecks, we trained two identical pose predictor networks:</w:t>
        <w:br/>
        <w:t xml:space="preserve">• </w:t>
      </w:r>
      <w:r>
        <w:rPr>
          <w:rFonts w:ascii="Calibri" w:hAnsi="Calibri"/>
          <w:b/>
          <w:sz w:val="22"/>
        </w:rPr>
        <w:t>Model A (Pure MSE Baseline)</w:t>
      </w:r>
      <w:r>
        <w:rPr>
          <w:rFonts w:ascii="Calibri" w:hAnsi="Calibri"/>
          <w:sz w:val="22"/>
        </w:rPr>
        <w:t>: Coordinate regression loss.</w:t>
        <w:br/>
        <w:t xml:space="preserve">• </w:t>
      </w:r>
      <w:r>
        <w:rPr>
          <w:rFonts w:ascii="Calibri" w:hAnsi="Calibri"/>
          <w:b/>
          <w:sz w:val="22"/>
        </w:rPr>
        <w:t>Model B (FreeSolvE-Augmented)</w:t>
      </w:r>
      <w:r>
        <w:rPr>
          <w:rFonts w:ascii="Calibri" w:hAnsi="Calibri"/>
          <w:sz w:val="22"/>
        </w:rPr>
        <w:t>: L</w:t>
      </w:r>
      <w:r>
        <w:rPr>
          <w:rFonts w:ascii="Calibri" w:hAnsi="Calibri"/>
          <w:sz w:val="22"/>
        </w:rPr>
        <w:t>_</w:t>
      </w:r>
      <w:r>
        <w:rPr>
          <w:rFonts w:ascii="Calibri" w:hAnsi="Calibri"/>
          <w:sz w:val="22"/>
        </w:rPr>
        <w:t>B = L</w:t>
      </w:r>
      <w:r>
        <w:rPr>
          <w:rFonts w:ascii="Calibri" w:hAnsi="Calibri"/>
          <w:sz w:val="22"/>
        </w:rPr>
        <w:t>_</w:t>
      </w:r>
      <w:r>
        <w:rPr>
          <w:rFonts w:ascii="Calibri" w:hAnsi="Calibri"/>
          <w:sz w:val="22"/>
        </w:rPr>
        <w:t>MSE + 0.08 · L</w:t>
      </w:r>
      <w:r>
        <w:rPr>
          <w:rFonts w:ascii="Calibri" w:hAnsi="Calibri"/>
          <w:sz w:val="22"/>
        </w:rPr>
        <w:t>_</w:t>
      </w:r>
      <w:r>
        <w:rPr>
          <w:rFonts w:ascii="Calibri" w:hAnsi="Calibri"/>
          <w:sz w:val="22"/>
        </w:rPr>
        <w:t>FreeSolvE.</w:t>
        <w:br/>
        <w:br/>
        <w:t xml:space="preserve">Due to FreeSolvE's sub-10ms FFT solver and vectorized kinematics, backpropagation of </w:t>
      </w:r>
      <w:r>
        <w:rPr>
          <w:rFonts w:ascii="Consolas" w:hAnsi="Consolas"/>
          <w:color w:val="005F73"/>
          <w:sz w:val="20"/>
        </w:rPr>
        <w:t>FreeSolvEPhysicsLoss</w:t>
      </w:r>
      <w:r>
        <w:rPr>
          <w:rFonts w:ascii="Calibri" w:hAnsi="Calibri"/>
          <w:sz w:val="22"/>
        </w:rPr>
        <w:t xml:space="preserve">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rPr>
          <w:rFonts w:ascii="Calibri" w:hAnsi="Calibri"/>
          <w:sz w:val="22"/>
        </w:rPr>
        <w:t>To validate the continuum solvation engine independently, we benchmarked FreeSolvE against the experimental FreeSolv database (Mobley et al., 2014) across 128 diverse organic molecules.</w:t>
        <w:br/>
        <w:t xml:space="preserve">• </w:t>
      </w:r>
      <w:r>
        <w:rPr>
          <w:rFonts w:ascii="Calibri" w:hAnsi="Calibri"/>
          <w:b/>
          <w:sz w:val="22"/>
        </w:rPr>
        <w:t>Full Test Set (N = 128)</w:t>
      </w:r>
      <w:r>
        <w:rPr>
          <w:rFonts w:ascii="Calibri" w:hAnsi="Calibri"/>
          <w:sz w:val="22"/>
        </w:rPr>
        <w:t>: Pearson R = 0.7583, Spearman ρ = 0.7751, RMSE = 2.8450 kcal/mol, Eval Speed &lt; 8 ms/mol.</w:t>
        <w:br/>
        <w:t xml:space="preserve">• </w:t>
      </w:r>
      <w:r>
        <w:rPr>
          <w:rFonts w:ascii="Calibri" w:hAnsi="Calibri"/>
          <w:b/>
          <w:sz w:val="22"/>
        </w:rPr>
        <w:t>Clean Subset (N = 126)</w:t>
      </w:r>
      <w:r>
        <w:rPr>
          <w:rFonts w:ascii="Calibri" w:hAnsi="Calibri"/>
          <w:sz w:val="22"/>
        </w:rPr>
        <w:t>: Pearson R = 0.7940, Spearman ρ = 0.7929, RMSE = 2.7201 kcal/mol, Eval Speed &lt; 8 ms/mol.</w:t>
        <w:br/>
        <w:br/>
        <w:t xml:space="preserve">While explicit-solvent free energy perturbation (FEP) calculations with 100 ns molecular dynamics can reach </w:t>
      </w:r>
      <w:r>
        <w:rPr>
          <w:rFonts w:ascii="Calibri" w:hAnsi="Calibri"/>
          <w:sz w:val="22"/>
        </w:rPr>
        <w:t>~</w:t>
      </w:r>
      <w:r>
        <w:rPr>
          <w:rFonts w:ascii="Calibri" w:hAnsi="Calibri"/>
          <w:sz w:val="22"/>
        </w:rPr>
        <w:t>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rPr>
          <w:rFonts w:ascii="Calibri" w:hAnsi="Calibri"/>
          <w:sz w:val="22"/>
        </w:rPr>
        <w:t xml:space="preserve">In modern generative drug discovery pipelines, algorithms frequently evaluate tens of thousands of candidate molecules per hour. Traditional MD simulation suites (AMBER, OpenMM, GROMACS) cannot operate at this velocity. By completing full pose relaxation in </w:t>
      </w:r>
      <w:r>
        <w:rPr>
          <w:rFonts w:ascii="Calibri" w:hAnsi="Calibri"/>
          <w:b/>
          <w:sz w:val="22"/>
        </w:rPr>
        <w:t>2.33 seconds per target on commodity CPU hardware</w:t>
      </w:r>
      <w:r>
        <w:rPr>
          <w:rFonts w:ascii="Calibri" w:hAnsi="Calibri"/>
          <w:sz w:val="22"/>
        </w:rPr>
        <w:t xml:space="preserve"> and electrostatic potential grid generation in </w:t>
      </w:r>
      <w:r>
        <w:rPr>
          <w:rFonts w:ascii="Calibri" w:hAnsi="Calibri"/>
          <w:b/>
          <w:sz w:val="22"/>
        </w:rPr>
        <w:t>under 10 milliseconds</w:t>
      </w:r>
      <w:r>
        <w:rPr>
          <w:rFonts w:ascii="Calibri" w:hAnsi="Calibri"/>
          <w:sz w:val="22"/>
        </w:rPr>
        <w:t>,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rPr>
          <w:rFonts w:ascii="Calibri" w:hAnsi="Calibri"/>
          <w:sz w:val="22"/>
        </w:rPr>
        <w:t>In our benchmarking, state-of-the-art classical forcefields (OpenMM v8.5.1 with Amber14/GAFF) were tested on the identical PoseBusters dataset. In multiple instances, OpenMM halted immediately with parameterization errors:</w:t>
        <w:br/>
      </w:r>
      <w:r>
        <w:rPr>
          <w:rFonts w:ascii="Consolas" w:hAnsi="Consolas"/>
          <w:color w:val="005F73"/>
          <w:sz w:val="20"/>
        </w:rPr>
        <w:t>OpenMM Error: No template found for residue 0 (ARG)... missing 13 H atoms</w:t>
      </w:r>
      <w:r>
        <w:rPr>
          <w:rFonts w:ascii="Calibri" w:hAnsi="Calibri"/>
          <w:sz w:val="22"/>
        </w:rPr>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rPr>
          <w:rFonts w:ascii="Calibri" w:hAnsi="Calibri"/>
          <w:sz w:val="22"/>
        </w:rPr>
        <w:t>To ensure scientific integrity, we explicitly demarcate the boundaries of FreeSolvE:</w:t>
        <w:br/>
        <w:t xml:space="preserve">• </w:t>
      </w:r>
      <w:r>
        <w:rPr>
          <w:rFonts w:ascii="Calibri" w:hAnsi="Calibri"/>
          <w:b/>
          <w:sz w:val="22"/>
        </w:rPr>
        <w:t>No Explicit Bridging Waters</w:t>
      </w:r>
      <w:r>
        <w:rPr>
          <w:rFonts w:ascii="Calibri" w:hAnsi="Calibri"/>
          <w:sz w:val="22"/>
        </w:rPr>
        <w:t>: FreeSolvE uses a mean-field continuum dielectric and SASA cavity model. It does not resolve discrete, structural water molecules that form coordinated hydrogen-bonded water bridges between protein and ligand.</w:t>
        <w:br/>
        <w:t xml:space="preserve">• </w:t>
      </w:r>
      <w:r>
        <w:rPr>
          <w:rFonts w:ascii="Calibri" w:hAnsi="Calibri"/>
          <w:b/>
          <w:sz w:val="22"/>
        </w:rPr>
        <w:t>Torsion-Only Flexibility</w:t>
      </w:r>
      <w:r>
        <w:rPr>
          <w:rFonts w:ascii="Calibri" w:hAnsi="Calibri"/>
          <w:sz w:val="22"/>
        </w:rPr>
        <w:t>: FreeSolvE assumes rigid covalent bond lengths and bond angles. While this guarantees 100% preservation of chemical validity, it cannot model induced-fit scenarios requiring significant valence angle deformation.</w:t>
        <w:br/>
        <w:t xml:space="preserve">• </w:t>
      </w:r>
      <w:r>
        <w:rPr>
          <w:rFonts w:ascii="Calibri" w:hAnsi="Calibri"/>
          <w:b/>
          <w:sz w:val="22"/>
        </w:rPr>
        <w:t>Controlled Training Ablation vs. Foundation Models</w:t>
      </w:r>
      <w:r>
        <w:rPr>
          <w:rFonts w:ascii="Calibri" w:hAnsi="Calibri"/>
          <w:sz w:val="22"/>
        </w:rPr>
        <w:t xml:space="preserve">: The AI training experiment presented here is a controlled ablation demonstrating that </w:t>
      </w:r>
      <w:r>
        <w:rPr>
          <w:rFonts w:ascii="Consolas" w:hAnsi="Consolas"/>
          <w:color w:val="005F73"/>
          <w:sz w:val="20"/>
        </w:rPr>
        <w:t>FreeSolvEPhysicsLoss</w:t>
      </w:r>
      <w:r>
        <w:rPr>
          <w:rFonts w:ascii="Calibri" w:hAnsi="Calibri"/>
          <w:sz w:val="22"/>
        </w:rPr>
        <w:t xml:space="preserve">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rPr>
          <w:rFonts w:ascii="Calibri" w:hAnsi="Calibri"/>
          <w:sz w:val="22"/>
        </w:rP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 xml:space="preserve">All source code, PyTorch loss layers, benchmark datasets, and evaluation scripts are available open-source under the MIT License at </w:t>
      </w:r>
      <w:r>
        <w:rPr>
          <w:rFonts w:ascii="Calibri" w:hAnsi="Calibri"/>
          <w:b/>
          <w:sz w:val="22"/>
        </w:rPr>
        <w:t>https://github.com/messiay/FreeSolve</w:t>
      </w:r>
      <w:r>
        <w:rPr>
          <w:rFonts w:ascii="Calibri" w:hAnsi="Calibri"/>
          <w:sz w:val="22"/>
        </w:rPr>
        <w:t xml:space="preserve">, and published on PyPI at </w:t>
      </w:r>
      <w:r>
        <w:rPr>
          <w:rFonts w:ascii="Calibri" w:hAnsi="Calibri"/>
          <w:b/>
          <w:sz w:val="22"/>
        </w:rPr>
        <w:t>https://pypi.org/project/freesolve/</w:t>
      </w:r>
      <w:r>
        <w:rPr>
          <w:rFonts w:ascii="Calibri" w:hAnsi="Calibri"/>
          <w:sz w:val="22"/>
        </w:rPr>
        <w:t xml:space="preserve"> (</w:t>
      </w:r>
      <w:r>
        <w:rPr>
          <w:rFonts w:ascii="Consolas" w:hAnsi="Consolas"/>
          <w:color w:val="005F73"/>
          <w:sz w:val="20"/>
        </w:rPr>
        <w:t>pip install freesolve</w:t>
      </w:r>
      <w:r>
        <w:rPr>
          <w:rFonts w:ascii="Calibri" w:hAnsi="Calibri"/>
          <w:sz w:val="22"/>
        </w:rPr>
        <w:t>).</w:t>
      </w:r>
    </w:p>
    <w:p>
      <w:pPr>
        <w:pStyle w:val="Heading2"/>
        <w:keepNext/>
        <w:spacing w:before="280" w:after="120"/>
      </w:pPr>
      <w:r>
        <w:rPr>
          <w:b/>
          <w:color w:val="0A9396"/>
          <w:sz w:val="26"/>
        </w:rPr>
        <w:t>Funding</w:t>
      </w:r>
    </w:p>
    <w:p>
      <w:r>
        <w:rPr>
          <w:rFonts w:ascii="Calibri" w:hAnsi="Calibri"/>
          <w:sz w:val="22"/>
        </w:rPr>
        <w:t>This research received no external grant or financial assistance from any public, commercial, or not-for-profit funding agency.</w:t>
      </w:r>
    </w:p>
    <w:p>
      <w:pPr>
        <w:pStyle w:val="Heading2"/>
        <w:keepNext/>
        <w:spacing w:before="280" w:after="120"/>
      </w:pPr>
      <w:r>
        <w:rPr>
          <w:b/>
          <w:color w:val="0A9396"/>
          <w:sz w:val="26"/>
        </w:rPr>
        <w:t>Competing Interests</w:t>
      </w:r>
    </w:p>
    <w:p>
      <w:r>
        <w:rPr>
          <w:rFonts w:ascii="Calibri" w:hAnsi="Calibri"/>
          <w:sz w:val="22"/>
        </w:rPr>
        <w:t>The author declares no competing financial or non-financial interests.</w:t>
      </w:r>
    </w:p>
    <w:p>
      <w:pPr>
        <w:pStyle w:val="Heading2"/>
        <w:keepNext/>
        <w:spacing w:before="280" w:after="120"/>
      </w:pPr>
      <w:r>
        <w:rPr>
          <w:b/>
          <w:color w:val="0A9396"/>
          <w:sz w:val="26"/>
        </w:rPr>
        <w:t>Author Contributions</w:t>
      </w:r>
    </w:p>
    <w:p>
      <w:r>
        <w:rPr>
          <w:rFonts w:ascii="Calibri" w:hAnsi="Calibri"/>
          <w:sz w:val="22"/>
        </w:rPr>
        <w:t>A.S. conceived the study, designed the continuum solvation algorithm and articulated forward kinematics engine, implemented the FreeSolvE PyTorch library, performed the PoseBusters and FreeSolv computational benchmarks, analyzed the data, and wrote the manuscript.</w:t>
      </w:r>
    </w:p>
    <w:p>
      <w:pPr>
        <w:pStyle w:val="Heading2"/>
        <w:keepNext/>
        <w:spacing w:before="280" w:after="120"/>
      </w:pPr>
      <w:r>
        <w:rPr>
          <w:b/>
          <w:color w:val="0A9396"/>
          <w:sz w:val="26"/>
        </w:rPr>
        <w:t>Acknowledgments</w:t>
      </w:r>
    </w:p>
    <w:p>
      <w:r>
        <w:rPr>
          <w:rFonts w:ascii="Calibri" w:hAnsi="Calibri"/>
          <w:sz w:val="22"/>
        </w:rPr>
        <w:t>We thank the open-source structural biology and cheminformatics communities, particularly the developers of RDKit, PyTorch, and PoseBusters, for providing benchmark datasets and validation suites.</w:t>
      </w:r>
    </w:p>
    <w:p>
      <w:pPr>
        <w:pStyle w:val="Heading1"/>
        <w:keepNext/>
        <w:spacing w:before="280" w:after="120"/>
      </w:pPr>
      <w:r>
        <w:rPr>
          <w:b/>
          <w:color w:val="005F73"/>
          <w:sz w:val="32"/>
        </w:rPr>
        <w:t>References</w:t>
      </w:r>
    </w:p>
    <w:p>
      <w:pPr>
        <w:spacing w:after="80"/>
      </w:pPr>
      <w:r>
        <w:rPr>
          <w:sz w:val="18"/>
        </w:rPr>
        <w:t>1. Buttenschoen, M., et al. (2024). PoseBusters: AI-based docking methods fail to generate physically valid poses. Chemical Science, 15(8), 3034–3044. DOI: 10.1039/D3SC04185A.</w:t>
      </w:r>
    </w:p>
    <w:p>
      <w:pPr>
        <w:spacing w:after="80"/>
      </w:pPr>
      <w:r>
        <w:rPr>
          <w:sz w:val="18"/>
        </w:rPr>
        <w:t>2. Corso, G., et al. (2023). DiffDock: Diffusion Steps, Twists, and Turns for Molecular Docking. International Conference on Learning Representations (ICLR).</w:t>
      </w:r>
    </w:p>
    <w:p>
      <w:pPr>
        <w:spacing w:after="80"/>
      </w:pPr>
      <w:r>
        <w:rPr>
          <w:sz w:val="18"/>
        </w:rPr>
        <w:t>3. Abramson, J., et al. (2024). Accurate structure prediction of biomolecular interactions with AlphaFold 3. Nature, 630, 493–500.</w:t>
      </w:r>
    </w:p>
    <w:p>
      <w:pPr>
        <w:spacing w:after="80"/>
      </w:pPr>
      <w:r>
        <w:rPr>
          <w:sz w:val="18"/>
        </w:rPr>
        <w:t>4. Mobley, D. L., &amp; Guthrie, J. P. (2014). FreeSolve: a database of experimental and calculated hydration free energies, with input files. Journal of Computer-Aided Molecular Design, 28(7), 711–720.</w:t>
      </w:r>
    </w:p>
    <w:p>
      <w:pPr>
        <w:spacing w:after="80"/>
      </w:pPr>
      <w:r>
        <w:rPr>
          <w:sz w:val="18"/>
        </w:rPr>
        <w:t>5. Eastman, P., et al. (2017). OpenMM 7: Rapid development of high performance algorithms for molecular dynamics. PLOS Computational Biology, 13(7), e1005659.</w:t>
      </w:r>
    </w:p>
    <w:p>
      <w:pPr>
        <w:spacing w:after="80"/>
      </w:pPr>
      <w:r>
        <w:rPr>
          <w:sz w:val="18"/>
        </w:rPr>
        <w:t>6. Trott, O., &amp; Olson, A. J. (2010). AutoDock Vina: improving the speed and accuracy of docking with a new scoring function, efficient optimization, and multithreading. Journal of Computational Chemistry, 31(2), 455–461.</w:t>
      </w:r>
    </w:p>
    <w:p>
      <w:pPr>
        <w:spacing w:after="80"/>
      </w:pPr>
      <w:r>
        <w:rPr>
          <w:sz w:val="18"/>
        </w:rPr>
        <w:t>7. Stark, H., et al. (2022). EquiBind: Geometric Deep Learning for Drug Binding Structure Prediction. International Conference on Machine Learning (ICML).</w:t>
      </w:r>
    </w:p>
    <w:p>
      <w:pPr>
        <w:spacing w:after="80"/>
      </w:pPr>
      <w:r>
        <w:rPr>
          <w:sz w:val="18"/>
        </w:rPr>
        <w:t>8. Lu, W., et al. (2022). TANKBind: Trigonometry-Aware Neural Networks for Drug-Protein Binding Structure Prediction. bioRxiv.</w:t>
      </w:r>
    </w:p>
    <w:p>
      <w:pPr>
        <w:spacing w:after="80"/>
      </w:pPr>
      <w:r>
        <w:rPr>
          <w:sz w:val="18"/>
        </w:rPr>
        <w:t>9. Paszke, A., et al. (2019). PyTorch: An imperative style, high-performance deep learning library. Advances in Neural Information Processing Systems (NeurIPS), 32, 8024–8035.</w:t>
      </w:r>
    </w:p>
    <w:p>
      <w:pPr>
        <w:spacing w:after="80"/>
      </w:pPr>
      <w:r>
        <w:rPr>
          <w:sz w:val="18"/>
        </w:rPr>
        <w:t>10. Case, D. A., et al. (2005). The Amber biomolecular simulation programs. Journal of Computational Chemistry, 26(16), 1668–1688.</w:t>
      </w:r>
    </w:p>
    <w:p>
      <w:pPr>
        <w:spacing w:after="80"/>
      </w:pPr>
      <w:r>
        <w:rPr>
          <w:sz w:val="18"/>
        </w:rPr>
        <w:t>11. Abraham, M. J., et al. (2015). GROMACS: High performance molecular simulations through multi-level parallelism from laptops to supercomputers. SoftwareX, 1–2, 19–25.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