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color w:val="005F73"/>
          <w:sz w:val="44"/>
        </w:rPr>
        <w:t>FreeSolvE: Solvent-Mediated Differentiable Pose Refinement and Ultra-Fast Biophysical Inductive Bias for Molecular Generation and Docking</w:t>
      </w:r>
    </w:p>
    <w:p>
      <w:pPr>
        <w:spacing w:after="320"/>
        <w:jc w:val="center"/>
      </w:pPr>
      <w:r>
        <w:rPr>
          <w:b/>
          <w:sz w:val="24"/>
        </w:rPr>
        <w:t>Arjun et al.</w:t>
        <w:br/>
      </w:r>
      <w:r>
        <w:rPr>
          <w:i/>
          <w:color w:val="6C757D"/>
          <w:sz w:val="20"/>
        </w:rPr>
        <w:t>Department of Computational Biology and Molecular Biophysics</w:t>
        <w:br/>
        <w:t>Preprint compiled for bioRxiv / ChemRxiv Submission</w:t>
        <w:br/>
        <w:t>Correspondence: Arjun (arjun@solvdock.org)</w:t>
      </w:r>
    </w:p>
    <w:tbl>
      <w:tblPr>
        <w:tblW w:type="auto" w:w="0"/>
        <w:jc w:val="center"/>
        <w:tblLook w:firstColumn="1" w:firstRow="1" w:lastColumn="0" w:lastRow="0" w:noHBand="0" w:noVBand="1" w:val="04A0"/>
      </w:tblPr>
      <w:tblGrid>
        <w:gridCol w:w="9360"/>
      </w:tblGrid>
      <w:tr>
        <w:tc>
          <w:tcPr>
            <w:tcW w:type="dxa" w:w="9360"/>
            <w:shd w:val="clear" w:color="auto" w:fill="F0F7F8"/>
            <w:tcMar>
              <w:top w:w="160" w:type="dxa"/>
              <w:bottom w:w="160" w:type="dxa"/>
              <w:left w:w="200" w:type="dxa"/>
              <w:right w:w="200" w:type="dxa"/>
            </w:tcMar>
          </w:tcPr>
          <w:p>
            <w:pPr>
              <w:spacing w:after="80"/>
            </w:pPr>
            <w:r>
              <w:rPr>
                <w:b/>
                <w:color w:val="005F73"/>
                <w:sz w:val="22"/>
              </w:rPr>
              <w:t>ABSTRACT</w:t>
              <w:br/>
            </w:r>
          </w:p>
          <w:p>
            <w:pPr>
              <w:spacing w:after="120"/>
            </w:pPr>
            <w:r>
              <w:rPr>
                <w:rFonts w:ascii="Calibri" w:hAnsi="Calibri"/>
                <w:sz w:val="20"/>
              </w:rPr>
              <w:t>Deep learning and generative diffusion architectures have revolutionized structural biology and structure-based drug design. However, state-of-the-art models—including DiffDock, NeuralPLexer, and AlphaFold3 derivatives—exhibit a notorious 'physical plausibility gap,' routinely producing severe steric clashes, bond distortions, and non-physical ligand-protein overlaps. In the official PoseBusters benchmark, leading generative docking models pass fewer than 40% of physical validity checks. Classical molecular dynamics (MD) relaxation is too computationally sluggish (requiring hours per complex) and brittle to rescue these poses at scale.</w:t>
            </w:r>
          </w:p>
          <w:p>
            <w:pPr>
              <w:spacing w:after="120"/>
            </w:pPr>
            <w:r>
              <w:rPr>
                <w:rFonts w:ascii="Calibri" w:hAnsi="Calibri"/>
                <w:sz w:val="20"/>
              </w:rPr>
              <w:t xml:space="preserve">Here, we introduce </w:t>
            </w:r>
            <w:r>
              <w:rPr>
                <w:rFonts w:ascii="Calibri" w:hAnsi="Calibri"/>
                <w:b/>
                <w:sz w:val="20"/>
              </w:rPr>
              <w:t>FreeSolvE</w:t>
            </w:r>
            <w:r>
              <w:rPr>
                <w:rFonts w:ascii="Calibri" w:hAnsi="Calibri"/>
                <w:sz w:val="20"/>
              </w:rPr>
              <w:t xml:space="preserve">, a differentiable continuum solvation and articulated kinematics engine natively optimized for both </w:t>
            </w:r>
            <w:r>
              <w:rPr>
                <w:rFonts w:ascii="Calibri" w:hAnsi="Calibri"/>
                <w:b/>
                <w:sz w:val="20"/>
              </w:rPr>
              <w:t>commodity CPUs and GPUs</w:t>
            </w:r>
            <w:r>
              <w:rPr>
                <w:rFonts w:ascii="Calibri" w:hAnsi="Calibri"/>
                <w:sz w:val="20"/>
              </w:rPr>
              <w:t xml:space="preserve">, designed to bridge statistical generative representations and physical biophysics at </w:t>
            </w:r>
            <w:r>
              <w:rPr>
                <w:rFonts w:ascii="Calibri" w:hAnsi="Calibri"/>
                <w:b/>
                <w:sz w:val="20"/>
              </w:rPr>
              <w:t>ultra-high computational speed</w:t>
            </w:r>
            <w:r>
              <w:rPr>
                <w:rFonts w:ascii="Calibri" w:hAnsi="Calibri"/>
                <w:sz w:val="20"/>
              </w:rPr>
              <w:t xml:space="preserve">. The core conceptual innovation of FreeSolvE is the utilization of </w:t>
            </w:r>
            <w:r>
              <w:rPr>
                <w:rFonts w:ascii="Calibri" w:hAnsi="Calibri"/>
                <w:b/>
                <w:sz w:val="20"/>
              </w:rPr>
              <w:t>implicit aqueous solvation as an ultra-fast thermodynamic mediator</w:t>
            </w:r>
            <w:r>
              <w:rPr>
                <w:rFonts w:ascii="Calibri" w:hAnsi="Calibri"/>
                <w:sz w:val="20"/>
              </w:rPr>
              <w:t>: in biological systems, molecular recognition is governed by solvent displacement and dielectric screening rather than gas-phase Coulombic attractions. By coupling an FFT-accelerated Poisson electrostatic solver (&lt; 10 milliseconds per solve) and solvent-accessible cavity terms with logarithmic soft-core non-bonded potentials, FreeSolvE eliminates the catastrophic numerical divergences (proportional to r</w:t>
            </w:r>
            <w:r>
              <w:rPr>
                <w:rFonts w:ascii="Calibri" w:hAnsi="Calibri"/>
                <w:sz w:val="20"/>
              </w:rPr>
              <w:t>^</w:t>
            </w:r>
            <w:r>
              <w:rPr>
                <w:rFonts w:ascii="Calibri" w:hAnsi="Calibri"/>
                <w:sz w:val="20"/>
              </w:rPr>
              <w:t>-12) characteristic of standard molecular mechanics while screening unphysical electrostatic spikes. Simultaneously, FreeSolvE parameterizes ligand flexibility strictly in internal torsion space (SO(3) x R</w:t>
            </w:r>
            <w:r>
              <w:rPr>
                <w:rFonts w:ascii="Calibri" w:hAnsi="Calibri"/>
                <w:sz w:val="20"/>
              </w:rPr>
              <w:t>^</w:t>
            </w:r>
            <w:r>
              <w:rPr>
                <w:rFonts w:ascii="Calibri" w:hAnsi="Calibri"/>
                <w:sz w:val="20"/>
              </w:rPr>
              <w:t>3 x T</w:t>
            </w:r>
            <w:r>
              <w:rPr>
                <w:rFonts w:ascii="Calibri" w:hAnsi="Calibri"/>
                <w:sz w:val="20"/>
              </w:rPr>
              <w:t>^</w:t>
            </w:r>
            <w:r>
              <w:rPr>
                <w:rFonts w:ascii="Calibri" w:hAnsi="Calibri"/>
                <w:sz w:val="20"/>
              </w:rPr>
              <w:t>k) via differentiable forward kinematics, preserving covalent bond lengths and valence angles by construction.</w:t>
            </w:r>
          </w:p>
          <w:p>
            <w:pPr>
              <w:spacing w:after="0"/>
            </w:pPr>
            <w:r>
              <w:rPr>
                <w:rFonts w:ascii="Calibri" w:hAnsi="Calibri"/>
                <w:sz w:val="20"/>
              </w:rPr>
              <w:t xml:space="preserve">Benchmarked across 50 diverse co-crystal complexes from the official PoseBusters validation set executed entirely on standard commodity CPU hardware, FreeSolvE rescues severely clashing initial poses, driving the physical clash pass rate from </w:t>
            </w:r>
            <w:r>
              <w:rPr>
                <w:rFonts w:ascii="Calibri" w:hAnsi="Calibri"/>
                <w:b/>
                <w:sz w:val="20"/>
              </w:rPr>
              <w:t>2.0% to 52.0% (+50.0% absolute gain)</w:t>
            </w:r>
            <w:r>
              <w:rPr>
                <w:rFonts w:ascii="Calibri" w:hAnsi="Calibri"/>
                <w:sz w:val="20"/>
              </w:rPr>
              <w:t xml:space="preserve"> in an average runtime of only </w:t>
            </w:r>
            <w:r>
              <w:rPr>
                <w:rFonts w:ascii="Calibri" w:hAnsi="Calibri"/>
                <w:b/>
                <w:sz w:val="20"/>
              </w:rPr>
              <w:t>2.33 seconds per target</w:t>
            </w:r>
            <w:r>
              <w:rPr>
                <w:rFonts w:ascii="Calibri" w:hAnsi="Calibri"/>
                <w:sz w:val="20"/>
              </w:rPr>
              <w:t xml:space="preserve"> (over 18,000× faster than explicit-solvent MD), maintaining 100% pocket residency (mean displacement 0.85 Å) without requiring manual forcefield parameterization, topology preparation, or dedicated GPU hardware. Furthermore, when embedded as an end-to-end differentiable loss layer (</w:t>
            </w:r>
            <w:r>
              <w:rPr>
                <w:rFonts w:ascii="Consolas" w:hAnsi="Consolas"/>
                <w:color w:val="005F73"/>
                <w:sz w:val="18"/>
              </w:rPr>
              <w:t>FreeSolvEPhysicsLoss</w:t>
            </w:r>
            <w:r>
              <w:rPr>
                <w:rFonts w:ascii="Calibri" w:hAnsi="Calibri"/>
                <w:sz w:val="20"/>
              </w:rPr>
              <w:t>) during PyTorch neural network training, FreeSolvE introduces near-zero overhead (+14 ms/step) while completely eliminating pocket clashes within 5 epochs (5 to 0 clashes), whereas standard mean squared error coordinate regression remains permanently trapped in steric collision. FreeSolvE is open-source and installable via PyPI (</w:t>
            </w:r>
            <w:r>
              <w:rPr>
                <w:rFonts w:ascii="Consolas" w:hAnsi="Consolas"/>
                <w:color w:val="005F73"/>
                <w:sz w:val="18"/>
              </w:rPr>
              <w:t>pip install freesolve</w:t>
            </w:r>
            <w:r>
              <w:rPr>
                <w:rFonts w:ascii="Calibri" w:hAnsi="Calibri"/>
                <w:sz w:val="20"/>
              </w:rPr>
              <w:t>), providing a general, ultra-fast, zero-setup biophysical inductive bias for macromolecular deep learning pipelines.</w:t>
            </w:r>
          </w:p>
        </w:tc>
      </w:tr>
    </w:tbl>
    <w:p>
      <w:pPr>
        <w:spacing w:before="200"/>
      </w:pPr>
    </w:p>
    <w:p>
      <w:pPr>
        <w:pStyle w:val="Heading1"/>
        <w:keepNext/>
        <w:spacing w:before="280" w:after="120"/>
      </w:pPr>
      <w:r>
        <w:rPr>
          <w:b/>
          <w:color w:val="005F73"/>
          <w:sz w:val="32"/>
        </w:rPr>
        <w:t>1. Introduction</w:t>
      </w:r>
    </w:p>
    <w:p>
      <w:r>
        <w:rPr>
          <w:rFonts w:ascii="Calibri" w:hAnsi="Calibri"/>
          <w:sz w:val="22"/>
        </w:rPr>
        <w:t>Structure-based drug design (SBDD) relies fundamentally on predicting the three-dimensional geometry and binding thermodynamics of small-molecule ligands interacting with macromolecular drug targets. In recent years, geometric deep learning and generative diffusion models—most notably DiffDock (Corso et al., 2023), EquiBind (Stark et al., 2022), TANKBind (Lu et al., 2022), and unified biomolecular modeling frameworks such as AlphaFold3 (Abramson et al., 2024)—have demonstrated unprecedented speed and global pose-finding capacity compared to classical stochastic docking engines such as AutoDock Vina (Trott and Olson, 2010).</w:t>
      </w:r>
    </w:p>
    <w:p>
      <w:pPr>
        <w:pStyle w:val="Heading2"/>
        <w:keepNext/>
        <w:spacing w:before="280" w:after="120"/>
      </w:pPr>
      <w:r>
        <w:rPr>
          <w:b/>
          <w:color w:val="0A9396"/>
          <w:sz w:val="26"/>
        </w:rPr>
        <w:t>1.1 The 'Vacuum Fallacy' and Physical Plausibility Crisis</w:t>
      </w:r>
    </w:p>
    <w:p>
      <w:r>
        <w:rPr>
          <w:rFonts w:ascii="Calibri" w:hAnsi="Calibri"/>
          <w:sz w:val="22"/>
        </w:rPr>
        <w:t>Despite high apparent scoring against root-mean-square deviation (RMSD) metrics, recent rigorous evaluations have exposed severe biophysical flaws in purely statistical docking models. In a landmark study introducing the PoseBusters benchmark suite, Buttenschoen et al. (</w:t>
      </w:r>
      <w:r>
        <w:rPr>
          <w:rFonts w:ascii="Calibri" w:hAnsi="Calibri"/>
          <w:i/>
          <w:sz w:val="22"/>
        </w:rPr>
        <w:t>Chem. Sci.</w:t>
      </w:r>
      <w:r>
        <w:rPr>
          <w:rFonts w:ascii="Calibri" w:hAnsi="Calibri"/>
          <w:sz w:val="22"/>
        </w:rPr>
        <w:t xml:space="preserve"> 2024) demonstrated that deep generative docking models frequently output physically impossible poses:</w:t>
        <w:br/>
        <w:t xml:space="preserve">• </w:t>
      </w:r>
      <w:r>
        <w:rPr>
          <w:rFonts w:ascii="Calibri" w:hAnsi="Calibri"/>
          <w:b/>
          <w:sz w:val="22"/>
        </w:rPr>
        <w:t>DiffDock</w:t>
      </w:r>
      <w:r>
        <w:rPr>
          <w:rFonts w:ascii="Calibri" w:hAnsi="Calibri"/>
          <w:sz w:val="22"/>
        </w:rPr>
        <w:t xml:space="preserve"> passed only </w:t>
      </w:r>
      <w:r>
        <w:rPr>
          <w:rFonts w:ascii="Calibri" w:hAnsi="Calibri"/>
          <w:b/>
          <w:sz w:val="22"/>
        </w:rPr>
        <w:t>36.4%</w:t>
      </w:r>
      <w:r>
        <w:rPr>
          <w:rFonts w:ascii="Calibri" w:hAnsi="Calibri"/>
          <w:sz w:val="22"/>
        </w:rPr>
        <w:t xml:space="preserve"> of PoseBusters physical validity criteria.</w:t>
        <w:br/>
        <w:t xml:space="preserve">• </w:t>
      </w:r>
      <w:r>
        <w:rPr>
          <w:rFonts w:ascii="Calibri" w:hAnsi="Calibri"/>
          <w:b/>
          <w:sz w:val="22"/>
        </w:rPr>
        <w:t>TANKBind</w:t>
      </w:r>
      <w:r>
        <w:rPr>
          <w:rFonts w:ascii="Calibri" w:hAnsi="Calibri"/>
          <w:sz w:val="22"/>
        </w:rPr>
        <w:t xml:space="preserve"> passed only </w:t>
      </w:r>
      <w:r>
        <w:rPr>
          <w:rFonts w:ascii="Calibri" w:hAnsi="Calibri"/>
          <w:b/>
          <w:sz w:val="22"/>
        </w:rPr>
        <w:t>24.5%</w:t>
      </w:r>
      <w:r>
        <w:rPr>
          <w:rFonts w:ascii="Calibri" w:hAnsi="Calibri"/>
          <w:sz w:val="22"/>
        </w:rPr>
        <w:t>.</w:t>
        <w:br/>
        <w:t xml:space="preserve">• </w:t>
      </w:r>
      <w:r>
        <w:rPr>
          <w:rFonts w:ascii="Calibri" w:hAnsi="Calibri"/>
          <w:b/>
          <w:sz w:val="22"/>
        </w:rPr>
        <w:t>EquiBind</w:t>
      </w:r>
      <w:r>
        <w:rPr>
          <w:rFonts w:ascii="Calibri" w:hAnsi="Calibri"/>
          <w:sz w:val="22"/>
        </w:rPr>
        <w:t xml:space="preserve"> passed only </w:t>
      </w:r>
      <w:r>
        <w:rPr>
          <w:rFonts w:ascii="Calibri" w:hAnsi="Calibri"/>
          <w:b/>
          <w:sz w:val="22"/>
        </w:rPr>
        <w:t>0.3%</w:t>
      </w:r>
      <w:r>
        <w:rPr>
          <w:rFonts w:ascii="Calibri" w:hAnsi="Calibri"/>
          <w:sz w:val="22"/>
        </w:rPr>
        <w:t>.</w:t>
        <w:br/>
        <w:br/>
        <w:t xml:space="preserve">The root cause of this failure is what we term the </w:t>
      </w:r>
      <w:r>
        <w:rPr>
          <w:rFonts w:ascii="Calibri" w:hAnsi="Calibri"/>
          <w:b/>
          <w:sz w:val="22"/>
        </w:rPr>
        <w:t>'Vacuum Fallacy'</w:t>
      </w:r>
      <w:r>
        <w:rPr>
          <w:rFonts w:ascii="Calibri" w:hAnsi="Calibri"/>
          <w:sz w:val="22"/>
        </w:rPr>
        <w:t>: neural networks trained on crystallographic coordinates parameterize distance geometry in an effective vacuum. Standard loss functions, such as coordinate Mean Squared Error (MSE), lack physical inductive biases; they treat a 0.2 Å error in an open solvent channel with the same penalty as a 0.2 Å inter-atomic penetration violating the Pauli exclusion principle.</w:t>
      </w:r>
    </w:p>
    <w:p>
      <w:pPr>
        <w:pStyle w:val="Heading2"/>
        <w:keepNext/>
        <w:spacing w:before="280" w:after="120"/>
      </w:pPr>
      <w:r>
        <w:rPr>
          <w:b/>
          <w:color w:val="0A9396"/>
          <w:sz w:val="26"/>
        </w:rPr>
        <w:t>1.2 The Failure of Classical Molecular Mechanics: The Speed and Parameterization Bottleneck</w:t>
      </w:r>
    </w:p>
    <w:p>
      <w:r>
        <w:rPr>
          <w:rFonts w:ascii="Calibri" w:hAnsi="Calibri"/>
          <w:sz w:val="22"/>
        </w:rPr>
        <w:t>When computational chemists attempt to post-process AI-generated poses using classical molecular mechanics engines (such as OpenMM, GROMACS, or AMBER), they encounter three severe roadblocks:</w:t>
        <w:br/>
        <w:t xml:space="preserve">1. </w:t>
      </w:r>
      <w:r>
        <w:rPr>
          <w:rFonts w:ascii="Calibri" w:hAnsi="Calibri"/>
          <w:b/>
          <w:sz w:val="22"/>
        </w:rPr>
        <w:t>Extreme Computational Sluggishness</w:t>
      </w:r>
      <w:r>
        <w:rPr>
          <w:rFonts w:ascii="Calibri" w:hAnsi="Calibri"/>
          <w:sz w:val="22"/>
        </w:rPr>
        <w:t xml:space="preserve">: Explicit-solvent MD relaxation requires 10 to 100 nanoseconds of equilibration to relax steric strains, requiring </w:t>
      </w:r>
      <w:r>
        <w:rPr>
          <w:rFonts w:ascii="Calibri" w:hAnsi="Calibri"/>
          <w:b/>
          <w:sz w:val="22"/>
        </w:rPr>
        <w:t>hours to days per complex</w:t>
      </w:r>
      <w:r>
        <w:rPr>
          <w:rFonts w:ascii="Calibri" w:hAnsi="Calibri"/>
          <w:sz w:val="22"/>
        </w:rPr>
        <w:t xml:space="preserve"> (</w:t>
      </w:r>
      <w:r>
        <w:rPr>
          <w:rFonts w:ascii="Calibri" w:hAnsi="Calibri"/>
          <w:sz w:val="22"/>
        </w:rPr>
        <w:t>~</w:t>
      </w:r>
      <w:r>
        <w:rPr>
          <w:rFonts w:ascii="Calibri" w:hAnsi="Calibri"/>
          <w:sz w:val="22"/>
        </w:rPr>
        <w:t>43,200 seconds). Even simple vacuum energy minimization takes 15–45 seconds per target and frequently fails. In high-throughput virtual screening of 10</w:t>
      </w:r>
      <w:r>
        <w:rPr>
          <w:rFonts w:ascii="Calibri" w:hAnsi="Calibri"/>
          <w:sz w:val="22"/>
        </w:rPr>
        <w:t>^</w:t>
      </w:r>
      <w:r>
        <w:rPr>
          <w:rFonts w:ascii="Calibri" w:hAnsi="Calibri"/>
          <w:sz w:val="22"/>
        </w:rPr>
        <w:t>6 compounds or real-time neural network training, this latency is prohibitive.</w:t>
        <w:br/>
        <w:t xml:space="preserve">2. </w:t>
      </w:r>
      <w:r>
        <w:rPr>
          <w:rFonts w:ascii="Calibri" w:hAnsi="Calibri"/>
          <w:b/>
          <w:sz w:val="22"/>
        </w:rPr>
        <w:t>The Brittle Topology Bottleneck</w:t>
      </w:r>
      <w:r>
        <w:rPr>
          <w:rFonts w:ascii="Calibri" w:hAnsi="Calibri"/>
          <w:sz w:val="22"/>
        </w:rPr>
        <w:t xml:space="preserve">: Classical engines require complete parameterization (GAFF/AM1-BCC charge assignment, missing hydrogen inference, protonation state assignment). When presented with raw benchmark crystallographic structures or predicted complexes, classical engines fail abruptly with missing residue templates (e.g., OpenMM throwing </w:t>
      </w:r>
      <w:r>
        <w:rPr>
          <w:rFonts w:ascii="Consolas" w:hAnsi="Consolas"/>
          <w:color w:val="005F73"/>
          <w:sz w:val="20"/>
        </w:rPr>
        <w:t>OpenMM Error: No template found for residue 0 (ARG)... missing 13 H atoms</w:t>
      </w:r>
      <w:r>
        <w:rPr>
          <w:rFonts w:ascii="Calibri" w:hAnsi="Calibri"/>
          <w:sz w:val="22"/>
        </w:rPr>
        <w:t>).</w:t>
        <w:br/>
        <w:t xml:space="preserve">3. </w:t>
      </w:r>
      <w:r>
        <w:rPr>
          <w:rFonts w:ascii="Calibri" w:hAnsi="Calibri"/>
          <w:b/>
          <w:sz w:val="22"/>
        </w:rPr>
        <w:t>The Numerical Singularity of r^-12 Repulsion</w:t>
      </w:r>
      <w:r>
        <w:rPr>
          <w:rFonts w:ascii="Calibri" w:hAnsi="Calibri"/>
          <w:sz w:val="22"/>
        </w:rPr>
        <w:t>: The standard Lennard-Jones 12-6 potential:</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color w:val="141414"/>
                <w:sz w:val="23"/>
              </w:rPr>
              <w:t>E</w:t>
            </w:r>
            <w:r>
              <w:rPr>
                <w:rFonts w:ascii="Cambria Math" w:hAnsi="Cambria Math"/>
                <w:b w:val="0"/>
                <w:i w:val="0"/>
                <w:color w:val="141414"/>
                <w:sz w:val="23"/>
                <w:vertAlign w:val="subscript"/>
              </w:rPr>
              <w:t>0</w:t>
            </w:r>
            <w:r>
              <w:rPr>
                <w:rFonts w:ascii="Cambria Math" w:hAnsi="Cambria Math"/>
                <w:b w:val="0"/>
                <w:i w:val="0"/>
                <w:color w:val="141414"/>
                <w:sz w:val="23"/>
              </w:rPr>
              <w:t>(r</w:t>
            </w:r>
            <w:r>
              <w:rPr>
                <w:rFonts w:ascii="Cambria Math" w:hAnsi="Cambria Math"/>
                <w:b w:val="0"/>
                <w:i/>
                <w:color w:val="141414"/>
                <w:sz w:val="23"/>
                <w:vertAlign w:val="subscript"/>
              </w:rPr>
              <w:t>ij</w:t>
            </w:r>
            <w:r>
              <w:rPr>
                <w:rFonts w:ascii="Cambria Math" w:hAnsi="Cambria Math"/>
                <w:b w:val="0"/>
                <w:i w:val="0"/>
                <w:color w:val="141414"/>
                <w:sz w:val="23"/>
              </w:rPr>
              <w:t>) = 4ε</w:t>
            </w:r>
            <w:r>
              <w:rPr>
                <w:rFonts w:ascii="Cambria Math" w:hAnsi="Cambria Math"/>
                <w:b w:val="0"/>
                <w:i/>
                <w:color w:val="141414"/>
                <w:sz w:val="23"/>
                <w:vertAlign w:val="subscript"/>
              </w:rPr>
              <w:t>ij</w:t>
            </w:r>
            <w:r>
              <w:rPr>
                <w:rFonts w:ascii="Cambria Math" w:hAnsi="Cambria Math"/>
                <w:b w:val="0"/>
                <w:i w:val="0"/>
                <w:color w:val="141414"/>
                <w:sz w:val="23"/>
              </w:rPr>
              <w:t xml:space="preserve"> [ (σ</w:t>
            </w:r>
            <w:r>
              <w:rPr>
                <w:rFonts w:ascii="Cambria Math" w:hAnsi="Cambria Math"/>
                <w:b w:val="0"/>
                <w:i/>
                <w:color w:val="141414"/>
                <w:sz w:val="23"/>
                <w:vertAlign w:val="subscript"/>
              </w:rPr>
              <w:t>ij</w:t>
            </w:r>
            <w:r>
              <w:rPr>
                <w:rFonts w:ascii="Cambria Math" w:hAnsi="Cambria Math"/>
                <w:b w:val="0"/>
                <w:i w:val="0"/>
                <w:color w:val="141414"/>
                <w:sz w:val="23"/>
              </w:rPr>
              <w:t xml:space="preserve"> / r</w:t>
            </w:r>
            <w:r>
              <w:rPr>
                <w:rFonts w:ascii="Cambria Math" w:hAnsi="Cambria Math"/>
                <w:b w:val="0"/>
                <w:i/>
                <w:color w:val="141414"/>
                <w:sz w:val="23"/>
                <w:vertAlign w:val="subscript"/>
              </w:rPr>
              <w:t>ij</w:t>
            </w:r>
            <w:r>
              <w:rPr>
                <w:rFonts w:ascii="Cambria Math" w:hAnsi="Cambria Math"/>
                <w:b w:val="0"/>
                <w:i w:val="0"/>
                <w:color w:val="141414"/>
                <w:sz w:val="23"/>
              </w:rPr>
              <w:t>)</w:t>
            </w:r>
            <w:r>
              <w:rPr>
                <w:rFonts w:ascii="Cambria Math" w:hAnsi="Cambria Math"/>
                <w:b w:val="0"/>
                <w:i w:val="0"/>
                <w:color w:val="141414"/>
                <w:sz w:val="23"/>
                <w:vertAlign w:val="superscript"/>
              </w:rPr>
              <w:t>12</w:t>
            </w:r>
            <w:r>
              <w:rPr>
                <w:rFonts w:ascii="Cambria Math" w:hAnsi="Cambria Math"/>
                <w:b w:val="0"/>
                <w:i w:val="0"/>
                <w:color w:val="141414"/>
                <w:sz w:val="23"/>
              </w:rPr>
              <w:t xml:space="preserve"> − (σ</w:t>
            </w:r>
            <w:r>
              <w:rPr>
                <w:rFonts w:ascii="Cambria Math" w:hAnsi="Cambria Math"/>
                <w:b w:val="0"/>
                <w:i/>
                <w:color w:val="141414"/>
                <w:sz w:val="23"/>
                <w:vertAlign w:val="subscript"/>
              </w:rPr>
              <w:t>ij</w:t>
            </w:r>
            <w:r>
              <w:rPr>
                <w:rFonts w:ascii="Cambria Math" w:hAnsi="Cambria Math"/>
                <w:b w:val="0"/>
                <w:i w:val="0"/>
                <w:color w:val="141414"/>
                <w:sz w:val="23"/>
              </w:rPr>
              <w:t xml:space="preserve"> / r</w:t>
            </w:r>
            <w:r>
              <w:rPr>
                <w:rFonts w:ascii="Cambria Math" w:hAnsi="Cambria Math"/>
                <w:b w:val="0"/>
                <w:i/>
                <w:color w:val="141414"/>
                <w:sz w:val="23"/>
                <w:vertAlign w:val="subscript"/>
              </w:rPr>
              <w:t>ij</w:t>
            </w:r>
            <w:r>
              <w:rPr>
                <w:rFonts w:ascii="Cambria Math" w:hAnsi="Cambria Math"/>
                <w:b w:val="0"/>
                <w:i w:val="0"/>
                <w:color w:val="141414"/>
                <w:sz w:val="23"/>
              </w:rPr>
              <w:t>)</w:t>
            </w:r>
            <w:r>
              <w:rPr>
                <w:rFonts w:ascii="Cambria Math" w:hAnsi="Cambria Math"/>
                <w:b w:val="0"/>
                <w:i w:val="0"/>
                <w:color w:val="141414"/>
                <w:sz w:val="23"/>
                <w:vertAlign w:val="superscript"/>
              </w:rPr>
              <w:t>6</w:t>
            </w:r>
            <w:r>
              <w:rPr>
                <w:rFonts w:ascii="Cambria Math" w:hAnsi="Cambria Math"/>
                <w:b w:val="0"/>
                <w:i w:val="0"/>
                <w:color w:val="141414"/>
                <w:sz w:val="23"/>
              </w:rPr>
              <w:t xml:space="preserve"> ]</w:t>
            </w:r>
          </w:p>
        </w:tc>
        <w:tc>
          <w:tcPr>
            <w:tcW w:type="dxa" w:w="1152"/>
            <w:tcBorders>
              <w:top w:val="none"/>
              <w:left w:val="none"/>
              <w:bottom w:val="none"/>
              <w:right w:val="none"/>
            </w:tcBorders>
          </w:tcPr>
          <w:p>
            <w:pPr>
              <w:spacing w:before="80" w:after="80"/>
              <w:jc w:val="right"/>
            </w:pPr>
            <w:r>
              <w:rPr>
                <w:rFonts w:ascii="Calibri" w:hAnsi="Calibri"/>
                <w:b/>
                <w:color w:val="6C757D"/>
                <w:sz w:val="21"/>
              </w:rPr>
              <w:t>(1)</w:t>
            </w:r>
          </w:p>
        </w:tc>
      </w:tr>
    </w:tbl>
    <w:p>
      <w:pPr>
        <w:spacing w:after="40"/>
      </w:pPr>
    </w:p>
    <w:p>
      <w:r>
        <w:rPr>
          <w:rFonts w:ascii="Calibri" w:hAnsi="Calibri"/>
          <w:sz w:val="22"/>
        </w:rPr>
        <w:t>exhibits infinite steepness as r -&gt; 0. When an AI model places two carbon atoms at r = 1.0 Å (compared to equilibrium diameter σ ≈ 3.4 Å), E</w:t>
      </w:r>
      <w:r>
        <w:rPr>
          <w:rFonts w:ascii="Calibri" w:hAnsi="Calibri"/>
          <w:sz w:val="22"/>
        </w:rPr>
        <w:t>_</w:t>
      </w:r>
      <w:r>
        <w:rPr>
          <w:rFonts w:ascii="Calibri" w:hAnsi="Calibri"/>
          <w:sz w:val="22"/>
        </w:rPr>
        <w:t>0 exceeds +10</w:t>
      </w:r>
      <w:r>
        <w:rPr>
          <w:rFonts w:ascii="Calibri" w:hAnsi="Calibri"/>
          <w:sz w:val="22"/>
        </w:rPr>
        <w:t>^</w:t>
      </w:r>
      <w:r>
        <w:rPr>
          <w:rFonts w:ascii="Calibri" w:hAnsi="Calibri"/>
          <w:sz w:val="22"/>
        </w:rPr>
        <w:t>6 kcal/mol. Gradient-based minimizers produce violent force vectors with magnitudes exceeding 10</w:t>
      </w:r>
      <w:r>
        <w:rPr>
          <w:rFonts w:ascii="Calibri" w:hAnsi="Calibri"/>
          <w:sz w:val="22"/>
        </w:rPr>
        <w:t>^</w:t>
      </w:r>
      <w:r>
        <w:rPr>
          <w:rFonts w:ascii="Calibri" w:hAnsi="Calibri"/>
          <w:sz w:val="22"/>
        </w:rPr>
        <w:t>8 kcal/(mol·Å), catastrophically ejecting the ligand completely out of the binding cavity into bulk solution.</w:t>
      </w:r>
    </w:p>
    <w:p>
      <w:pPr>
        <w:pStyle w:val="Heading2"/>
        <w:keepNext/>
        <w:spacing w:before="280" w:after="120"/>
      </w:pPr>
      <w:r>
        <w:rPr>
          <w:b/>
          <w:color w:val="0A9396"/>
          <w:sz w:val="26"/>
        </w:rPr>
        <w:t>1.3 The Core Novelty: Solvation as the Universal High-Speed Thermodynamic Cushion</w:t>
      </w:r>
    </w:p>
    <w:p>
      <w:r>
        <w:rPr>
          <w:rFonts w:ascii="Calibri" w:hAnsi="Calibri"/>
          <w:sz w:val="22"/>
        </w:rPr>
        <w:t>In cellular biology, binding does not take place in an empty vacuum—it is mediated by water. Solvent plays four pivotal roles:</w:t>
        <w:br/>
        <w:t xml:space="preserve">• </w:t>
      </w:r>
      <w:r>
        <w:rPr>
          <w:rFonts w:ascii="Calibri" w:hAnsi="Calibri"/>
          <w:b/>
          <w:sz w:val="22"/>
        </w:rPr>
        <w:t>Dielectric Attenuation</w:t>
      </w:r>
      <w:r>
        <w:rPr>
          <w:rFonts w:ascii="Calibri" w:hAnsi="Calibri"/>
          <w:sz w:val="22"/>
        </w:rPr>
        <w:t>: Water exhibits a bulk relative permittivity of ε</w:t>
      </w:r>
      <w:r>
        <w:rPr>
          <w:rFonts w:ascii="Calibri" w:hAnsi="Calibri"/>
          <w:sz w:val="22"/>
        </w:rPr>
        <w:t>_</w:t>
      </w:r>
      <w:r>
        <w:rPr>
          <w:rFonts w:ascii="Calibri" w:hAnsi="Calibri"/>
          <w:sz w:val="22"/>
        </w:rPr>
        <w:t>r ≈ 78.4. Long-range Coulombic forces that would violently distort molecules in vacuum are damped by almost two orders of magnitude in an aqueous environment.</w:t>
        <w:br/>
        <w:t xml:space="preserve">• </w:t>
      </w:r>
      <w:r>
        <w:rPr>
          <w:rFonts w:ascii="Calibri" w:hAnsi="Calibri"/>
          <w:b/>
          <w:sz w:val="22"/>
        </w:rPr>
        <w:t>Hydrophobic Collapse and Desolvation</w:t>
      </w:r>
      <w:r>
        <w:rPr>
          <w:rFonts w:ascii="Calibri" w:hAnsi="Calibri"/>
          <w:sz w:val="22"/>
        </w:rPr>
        <w:t>: Binding is largely driven by the entropic gain of displacing ordered water molecules from nonpolar binding pockets (ΔG</w:t>
      </w:r>
      <w:r>
        <w:rPr>
          <w:rFonts w:ascii="Calibri" w:hAnsi="Calibri"/>
          <w:sz w:val="22"/>
        </w:rPr>
        <w:t>_</w:t>
      </w:r>
      <w:r>
        <w:rPr>
          <w:rFonts w:ascii="Calibri" w:hAnsi="Calibri"/>
          <w:sz w:val="22"/>
        </w:rPr>
        <w:t>cav ∝ SASA).</w:t>
        <w:br/>
        <w:t xml:space="preserve">• </w:t>
      </w:r>
      <w:r>
        <w:rPr>
          <w:rFonts w:ascii="Calibri" w:hAnsi="Calibri"/>
          <w:b/>
          <w:sz w:val="22"/>
        </w:rPr>
        <w:t>Thermodynamic Cushioning</w:t>
      </w:r>
      <w:r>
        <w:rPr>
          <w:rFonts w:ascii="Calibri" w:hAnsi="Calibri"/>
          <w:sz w:val="22"/>
        </w:rPr>
        <w:t>: Water provides continuous dielectric resistance that prevents charged groups from collapsing into unphysical contacts while guiding nonpolar moieties into complementary van der Waals contact.</w:t>
        <w:br/>
        <w:t xml:space="preserve">• </w:t>
      </w:r>
      <w:r>
        <w:rPr>
          <w:rFonts w:ascii="Calibri" w:hAnsi="Calibri"/>
          <w:b/>
          <w:sz w:val="22"/>
        </w:rPr>
        <w:t>Ultra-Fast Analytical Solvation</w:t>
      </w:r>
      <w:r>
        <w:rPr>
          <w:rFonts w:ascii="Calibri" w:hAnsi="Calibri"/>
          <w:sz w:val="22"/>
        </w:rPr>
        <w:t xml:space="preserve">: By formulating continuum solvation via 3D Fast Fourier Transforms (FFT), FreeSolvE evaluates the complete Poisson dielectric field in </w:t>
      </w:r>
      <w:r>
        <w:rPr>
          <w:rFonts w:ascii="Calibri" w:hAnsi="Calibri"/>
          <w:b/>
          <w:sz w:val="22"/>
        </w:rPr>
        <w:t>under 10 milliseconds</w:t>
      </w:r>
      <w:r>
        <w:rPr>
          <w:rFonts w:ascii="Calibri" w:hAnsi="Calibri"/>
          <w:sz w:val="22"/>
        </w:rPr>
        <w:t>, enabling real-time gradient evaluation during pose optimization on commodity CPUs and mini-batch deep learning training on GPUs.</w:t>
      </w:r>
    </w:p>
    <w:p>
      <w:pPr>
        <w:pStyle w:val="Heading1"/>
        <w:keepNext/>
        <w:spacing w:before="280" w:after="120"/>
      </w:pPr>
      <w:r>
        <w:rPr>
          <w:b/>
          <w:color w:val="005F73"/>
          <w:sz w:val="32"/>
        </w:rPr>
        <w:t>2. Physical Theory and Mathematical Methods</w:t>
      </w:r>
    </w:p>
    <w:p>
      <w:r>
        <w:rPr>
          <w:rFonts w:ascii="Calibri" w:hAnsi="Calibri"/>
          <w:sz w:val="22"/>
        </w:rPr>
        <w:t>FreeSolvE models the protein-ligand system in a hybrid Eulerian-Lagrangian representation: the macromolecular receptor is represented on a discretized spatial dielectric and potential grid Ω ⊂ ℝ</w:t>
      </w:r>
      <w:r>
        <w:rPr>
          <w:rFonts w:ascii="Calibri" w:hAnsi="Calibri"/>
          <w:sz w:val="22"/>
        </w:rPr>
        <w:t>^</w:t>
      </w:r>
      <w:r>
        <w:rPr>
          <w:rFonts w:ascii="Calibri" w:hAnsi="Calibri"/>
          <w:sz w:val="22"/>
        </w:rPr>
        <w:t>3, while the ligand is represented as an articulated kinematic chain with invariant covalent geometry.</w:t>
      </w:r>
    </w:p>
    <w:p>
      <w:pPr>
        <w:pStyle w:val="Heading2"/>
        <w:keepNext/>
        <w:spacing w:before="280" w:after="120"/>
      </w:pPr>
      <w:r>
        <w:rPr>
          <w:b/>
          <w:color w:val="0A9396"/>
          <w:sz w:val="26"/>
        </w:rPr>
        <w:t>2.1 Sub-10ms FFT Poisson Electrostatics and Pocket Solvation</w:t>
      </w:r>
    </w:p>
    <w:p>
      <w:r>
        <w:rPr>
          <w:rFonts w:ascii="Calibri" w:hAnsi="Calibri"/>
          <w:sz w:val="22"/>
        </w:rPr>
        <w:t>Rather than evaluating expensive pairwise all-atom continuum integrals, FreeSolvE calculates the electrostatic potential Φ(r) of the receptor via the Poisson equation on a uniform Cartesian grid (spacing Δx = 1.0 Å):</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val="0"/>
                <w:color w:val="141414"/>
                <w:sz w:val="23"/>
              </w:rPr>
              <w:t xml:space="preserve">∇ · [ ε(r) ∇Φ(r) ] = − </w:t>
            </w:r>
            <w:r>
              <w:rPr>
                <w:rFonts w:ascii="Cambria Math" w:hAnsi="Cambria Math"/>
                <w:b w:val="0"/>
                <w:i/>
                <w:color w:val="141414"/>
                <w:sz w:val="23"/>
              </w:rPr>
              <w:t>ρ</w:t>
            </w:r>
            <w:r>
              <w:rPr>
                <w:rFonts w:ascii="Cambria Math" w:hAnsi="Cambria Math"/>
                <w:b w:val="0"/>
                <w:i/>
                <w:color w:val="141414"/>
                <w:sz w:val="23"/>
                <w:vertAlign w:val="subscript"/>
              </w:rPr>
              <w:t>q</w:t>
            </w:r>
            <w:r>
              <w:rPr>
                <w:rFonts w:ascii="Cambria Math" w:hAnsi="Cambria Math"/>
                <w:b w:val="0"/>
                <w:i w:val="0"/>
                <w:color w:val="141414"/>
                <w:sz w:val="23"/>
              </w:rPr>
              <w:t>(r) / ε</w:t>
            </w:r>
            <w:r>
              <w:rPr>
                <w:rFonts w:ascii="Cambria Math" w:hAnsi="Cambria Math"/>
                <w:b w:val="0"/>
                <w:i w:val="0"/>
                <w:color w:val="141414"/>
                <w:sz w:val="23"/>
                <w:vertAlign w:val="subscript"/>
              </w:rPr>
              <w:t>0</w:t>
            </w:r>
          </w:p>
        </w:tc>
        <w:tc>
          <w:tcPr>
            <w:tcW w:type="dxa" w:w="1152"/>
            <w:tcBorders>
              <w:top w:val="none"/>
              <w:left w:val="none"/>
              <w:bottom w:val="none"/>
              <w:right w:val="none"/>
            </w:tcBorders>
          </w:tcPr>
          <w:p>
            <w:pPr>
              <w:spacing w:before="80" w:after="80"/>
              <w:jc w:val="right"/>
            </w:pPr>
            <w:r>
              <w:rPr>
                <w:rFonts w:ascii="Calibri" w:hAnsi="Calibri"/>
                <w:b/>
                <w:color w:val="6C757D"/>
                <w:sz w:val="21"/>
              </w:rPr>
              <w:t>(2)</w:t>
            </w:r>
          </w:p>
        </w:tc>
      </w:tr>
    </w:tbl>
    <w:p>
      <w:pPr>
        <w:spacing w:after="40"/>
      </w:pPr>
    </w:p>
    <w:p>
      <w:r>
        <w:rPr>
          <w:rFonts w:ascii="Calibri" w:hAnsi="Calibri"/>
          <w:sz w:val="22"/>
        </w:rPr>
        <w:t>where ρ</w:t>
      </w:r>
      <w:r>
        <w:rPr>
          <w:rFonts w:ascii="Calibri" w:hAnsi="Calibri"/>
          <w:sz w:val="22"/>
        </w:rPr>
        <w:t>_</w:t>
      </w:r>
      <w:r>
        <w:rPr>
          <w:rFonts w:ascii="Calibri" w:hAnsi="Calibri"/>
          <w:sz w:val="22"/>
        </w:rPr>
        <w:t>q(r) is the continuous spatial charge density generated by Gaussian charge splatting with default kernel radius σ = 1.0 Å:</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color w:val="141414"/>
                <w:sz w:val="23"/>
              </w:rPr>
              <w:t>ρ</w:t>
            </w:r>
            <w:r>
              <w:rPr>
                <w:rFonts w:ascii="Cambria Math" w:hAnsi="Cambria Math"/>
                <w:b w:val="0"/>
                <w:i/>
                <w:color w:val="141414"/>
                <w:sz w:val="23"/>
                <w:vertAlign w:val="subscript"/>
              </w:rPr>
              <w:t>q</w:t>
            </w:r>
            <w:r>
              <w:rPr>
                <w:rFonts w:ascii="Cambria Math" w:hAnsi="Cambria Math"/>
                <w:b w:val="0"/>
                <w:i w:val="0"/>
                <w:color w:val="141414"/>
                <w:sz w:val="23"/>
              </w:rPr>
              <w:t xml:space="preserve">(r) = </w:t>
            </w:r>
            <w:r>
              <w:rPr>
                <w:rFonts w:ascii="Cambria Math" w:hAnsi="Cambria Math"/>
                <w:b/>
                <w:i w:val="0"/>
                <w:color w:val="141414"/>
                <w:sz w:val="23"/>
              </w:rPr>
              <w:t>∑</w:t>
            </w:r>
            <w:r>
              <w:rPr>
                <w:rFonts w:ascii="Cambria Math" w:hAnsi="Cambria Math"/>
                <w:b w:val="0"/>
                <w:i/>
                <w:color w:val="141414"/>
                <w:sz w:val="23"/>
              </w:rPr>
              <w:t xml:space="preserve"> q</w:t>
            </w:r>
            <w:r>
              <w:rPr>
                <w:rFonts w:ascii="Cambria Math" w:hAnsi="Cambria Math"/>
                <w:b w:val="0"/>
                <w:i/>
                <w:color w:val="141414"/>
                <w:sz w:val="23"/>
                <w:vertAlign w:val="subscript"/>
              </w:rPr>
              <w:t>i</w:t>
            </w:r>
            <w:r>
              <w:rPr>
                <w:rFonts w:ascii="Cambria Math" w:hAnsi="Cambria Math"/>
                <w:b w:val="0"/>
                <w:i w:val="0"/>
                <w:color w:val="141414"/>
                <w:sz w:val="23"/>
              </w:rPr>
              <w:t xml:space="preserve"> ( 1 / (2πσ</w:t>
            </w:r>
            <w:r>
              <w:rPr>
                <w:rFonts w:ascii="Cambria Math" w:hAnsi="Cambria Math"/>
                <w:b w:val="0"/>
                <w:i w:val="0"/>
                <w:color w:val="141414"/>
                <w:sz w:val="23"/>
                <w:vertAlign w:val="superscript"/>
              </w:rPr>
              <w:t>2</w:t>
            </w:r>
            <w:r>
              <w:rPr>
                <w:rFonts w:ascii="Cambria Math" w:hAnsi="Cambria Math"/>
                <w:b w:val="0"/>
                <w:i w:val="0"/>
                <w:color w:val="141414"/>
                <w:sz w:val="23"/>
              </w:rPr>
              <w:t>)</w:t>
            </w:r>
            <w:r>
              <w:rPr>
                <w:rFonts w:ascii="Cambria Math" w:hAnsi="Cambria Math"/>
                <w:b w:val="0"/>
                <w:i w:val="0"/>
                <w:color w:val="141414"/>
                <w:sz w:val="23"/>
                <w:vertAlign w:val="superscript"/>
              </w:rPr>
              <w:t>3/2</w:t>
            </w:r>
            <w:r>
              <w:rPr>
                <w:rFonts w:ascii="Cambria Math" w:hAnsi="Cambria Math"/>
                <w:b w:val="0"/>
                <w:i w:val="0"/>
                <w:color w:val="141414"/>
                <w:sz w:val="23"/>
              </w:rPr>
              <w:t xml:space="preserve"> ) exp( − ||r − x</w:t>
            </w:r>
            <w:r>
              <w:rPr>
                <w:rFonts w:ascii="Cambria Math" w:hAnsi="Cambria Math"/>
                <w:b w:val="0"/>
                <w:i/>
                <w:color w:val="141414"/>
                <w:sz w:val="23"/>
                <w:vertAlign w:val="subscript"/>
              </w:rPr>
              <w:t>i</w:t>
            </w:r>
            <w:r>
              <w:rPr>
                <w:rFonts w:ascii="Cambria Math" w:hAnsi="Cambria Math"/>
                <w:b w:val="0"/>
                <w:i w:val="0"/>
                <w:color w:val="141414"/>
                <w:sz w:val="23"/>
              </w:rPr>
              <w:t>||</w:t>
            </w:r>
            <w:r>
              <w:rPr>
                <w:rFonts w:ascii="Cambria Math" w:hAnsi="Cambria Math"/>
                <w:b w:val="0"/>
                <w:i w:val="0"/>
                <w:color w:val="141414"/>
                <w:sz w:val="23"/>
                <w:vertAlign w:val="superscript"/>
              </w:rPr>
              <w:t>2</w:t>
            </w:r>
            <w:r>
              <w:rPr>
                <w:rFonts w:ascii="Cambria Math" w:hAnsi="Cambria Math"/>
                <w:b w:val="0"/>
                <w:i w:val="0"/>
                <w:color w:val="141414"/>
                <w:sz w:val="23"/>
              </w:rPr>
              <w:t xml:space="preserve"> / (2σ</w:t>
            </w:r>
            <w:r>
              <w:rPr>
                <w:rFonts w:ascii="Cambria Math" w:hAnsi="Cambria Math"/>
                <w:b w:val="0"/>
                <w:i w:val="0"/>
                <w:color w:val="141414"/>
                <w:sz w:val="23"/>
                <w:vertAlign w:val="superscript"/>
              </w:rPr>
              <w:t>2</w:t>
            </w:r>
            <w:r>
              <w:rPr>
                <w:rFonts w:ascii="Cambria Math" w:hAnsi="Cambria Math"/>
                <w:b w:val="0"/>
                <w:i w:val="0"/>
                <w:color w:val="141414"/>
                <w:sz w:val="23"/>
              </w:rPr>
              <w:t>) )</w:t>
            </w:r>
          </w:p>
        </w:tc>
        <w:tc>
          <w:tcPr>
            <w:tcW w:type="dxa" w:w="1152"/>
            <w:tcBorders>
              <w:top w:val="none"/>
              <w:left w:val="none"/>
              <w:bottom w:val="none"/>
              <w:right w:val="none"/>
            </w:tcBorders>
          </w:tcPr>
          <w:p>
            <w:pPr>
              <w:spacing w:before="80" w:after="80"/>
              <w:jc w:val="right"/>
            </w:pPr>
            <w:r>
              <w:rPr>
                <w:rFonts w:ascii="Calibri" w:hAnsi="Calibri"/>
                <w:b/>
                <w:color w:val="6C757D"/>
                <w:sz w:val="21"/>
              </w:rPr>
              <w:t>(3)</w:t>
            </w:r>
          </w:p>
        </w:tc>
      </w:tr>
    </w:tbl>
    <w:p>
      <w:pPr>
        <w:spacing w:after="40"/>
      </w:pPr>
    </w:p>
    <w:p>
      <w:r>
        <w:rPr>
          <w:rFonts w:ascii="Calibri" w:hAnsi="Calibri"/>
          <w:sz w:val="22"/>
        </w:rPr>
        <w:t>In Fourier space, Green's function convolution yields the potential in closed form:</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val="0"/>
                <w:color w:val="141414"/>
                <w:sz w:val="23"/>
              </w:rPr>
              <w:t xml:space="preserve">Φ̂(k) = </w:t>
            </w:r>
            <w:r>
              <w:rPr>
                <w:rFonts w:ascii="Cambria Math" w:hAnsi="Cambria Math"/>
                <w:b w:val="0"/>
                <w:i/>
                <w:color w:val="141414"/>
                <w:sz w:val="23"/>
              </w:rPr>
              <w:t>ρ̂</w:t>
            </w:r>
            <w:r>
              <w:rPr>
                <w:rFonts w:ascii="Cambria Math" w:hAnsi="Cambria Math"/>
                <w:b w:val="0"/>
                <w:i/>
                <w:color w:val="141414"/>
                <w:sz w:val="23"/>
                <w:vertAlign w:val="subscript"/>
              </w:rPr>
              <w:t>q</w:t>
            </w:r>
            <w:r>
              <w:rPr>
                <w:rFonts w:ascii="Cambria Math" w:hAnsi="Cambria Math"/>
                <w:b w:val="0"/>
                <w:i w:val="0"/>
                <w:color w:val="141414"/>
                <w:sz w:val="23"/>
              </w:rPr>
              <w:t>(k) / ( ε</w:t>
            </w:r>
            <w:r>
              <w:rPr>
                <w:rFonts w:ascii="Cambria Math" w:hAnsi="Cambria Math"/>
                <w:b w:val="0"/>
                <w:i w:val="0"/>
                <w:color w:val="141414"/>
                <w:sz w:val="23"/>
                <w:vertAlign w:val="subscript"/>
              </w:rPr>
              <w:t>0</w:t>
            </w:r>
            <w:r>
              <w:rPr>
                <w:rFonts w:ascii="Cambria Math" w:hAnsi="Cambria Math"/>
                <w:b w:val="0"/>
                <w:i w:val="0"/>
                <w:color w:val="141414"/>
                <w:sz w:val="23"/>
              </w:rPr>
              <w:t xml:space="preserve"> · ε</w:t>
            </w:r>
            <w:r>
              <w:rPr>
                <w:rFonts w:ascii="Cambria Math" w:hAnsi="Cambria Math"/>
                <w:b w:val="0"/>
                <w:i w:val="0"/>
                <w:color w:val="141414"/>
                <w:sz w:val="23"/>
                <w:vertAlign w:val="subscript"/>
              </w:rPr>
              <w:t>eff</w:t>
            </w:r>
            <w:r>
              <w:rPr>
                <w:rFonts w:ascii="Cambria Math" w:hAnsi="Cambria Math"/>
                <w:b w:val="0"/>
                <w:i w:val="0"/>
                <w:color w:val="141414"/>
                <w:sz w:val="23"/>
              </w:rPr>
              <w:t xml:space="preserve"> · ||k||</w:t>
            </w:r>
            <w:r>
              <w:rPr>
                <w:rFonts w:ascii="Cambria Math" w:hAnsi="Cambria Math"/>
                <w:b w:val="0"/>
                <w:i w:val="0"/>
                <w:color w:val="141414"/>
                <w:sz w:val="23"/>
                <w:vertAlign w:val="superscript"/>
              </w:rPr>
              <w:t>2</w:t>
            </w:r>
            <w:r>
              <w:rPr>
                <w:rFonts w:ascii="Cambria Math" w:hAnsi="Cambria Math"/>
                <w:b w:val="0"/>
                <w:i w:val="0"/>
                <w:color w:val="141414"/>
                <w:sz w:val="23"/>
              </w:rPr>
              <w:t xml:space="preserve"> ),     Φ(r) = ℱ</w:t>
            </w:r>
            <w:r>
              <w:rPr>
                <w:rFonts w:ascii="Cambria Math" w:hAnsi="Cambria Math"/>
                <w:b w:val="0"/>
                <w:i w:val="0"/>
                <w:color w:val="141414"/>
                <w:sz w:val="23"/>
                <w:vertAlign w:val="superscript"/>
              </w:rPr>
              <w:t>−1</w:t>
            </w:r>
            <w:r>
              <w:rPr>
                <w:rFonts w:ascii="Cambria Math" w:hAnsi="Cambria Math"/>
                <w:b w:val="0"/>
                <w:i w:val="0"/>
                <w:color w:val="141414"/>
                <w:sz w:val="23"/>
              </w:rPr>
              <w:t>{ Φ̂(k) }</w:t>
            </w:r>
          </w:p>
        </w:tc>
        <w:tc>
          <w:tcPr>
            <w:tcW w:type="dxa" w:w="1152"/>
            <w:tcBorders>
              <w:top w:val="none"/>
              <w:left w:val="none"/>
              <w:bottom w:val="none"/>
              <w:right w:val="none"/>
            </w:tcBorders>
          </w:tcPr>
          <w:p>
            <w:pPr>
              <w:spacing w:before="80" w:after="80"/>
              <w:jc w:val="right"/>
            </w:pPr>
            <w:r>
              <w:rPr>
                <w:rFonts w:ascii="Calibri" w:hAnsi="Calibri"/>
                <w:b/>
                <w:color w:val="6C757D"/>
                <w:sz w:val="21"/>
              </w:rPr>
              <w:t>(4)</w:t>
            </w:r>
          </w:p>
        </w:tc>
      </w:tr>
    </w:tbl>
    <w:p>
      <w:pPr>
        <w:spacing w:after="40"/>
      </w:pPr>
    </w:p>
    <w:p>
      <w:r>
        <w:rPr>
          <w:rFonts w:ascii="Calibri" w:hAnsi="Calibri"/>
          <w:sz w:val="22"/>
        </w:rPr>
        <w:t xml:space="preserve">The electric field is obtained via analytical grid differentiation: E(r) = -∇Φ(r). On commodity multicore CPUs, this 3D FFT convolution executes in </w:t>
      </w:r>
      <w:r>
        <w:rPr>
          <w:rFonts w:ascii="Calibri" w:hAnsi="Calibri"/>
          <w:b/>
          <w:sz w:val="22"/>
        </w:rPr>
        <w:t>less than 8 milliseconds</w:t>
      </w:r>
      <w:r>
        <w:rPr>
          <w:rFonts w:ascii="Calibri" w:hAnsi="Calibri"/>
          <w:sz w:val="22"/>
        </w:rPr>
        <w:t>, delivering orders-of-magnitude speedups over classical Poisson-Boltzmann boundary-element or finite-difference multigrid solvers. The electrostatic interaction between the receptor grid and the articulated ligand atoms is then evaluated by continuous trilinear interpolation of Φ(r) at the ligand coordinates x</w:t>
      </w:r>
      <w:r>
        <w:rPr>
          <w:rFonts w:ascii="Calibri" w:hAnsi="Calibri"/>
          <w:sz w:val="22"/>
        </w:rPr>
        <w:t>_</w:t>
      </w:r>
      <w:r>
        <w:rPr>
          <w:rFonts w:ascii="Calibri" w:hAnsi="Calibri"/>
          <w:sz w:val="22"/>
        </w:rPr>
        <w:t>j:</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color w:val="141414"/>
                <w:sz w:val="23"/>
              </w:rPr>
              <w:t>E</w:t>
            </w:r>
            <w:r>
              <w:rPr>
                <w:rFonts w:ascii="Cambria Math" w:hAnsi="Cambria Math"/>
                <w:b w:val="0"/>
                <w:i w:val="0"/>
                <w:color w:val="141414"/>
                <w:sz w:val="23"/>
                <w:vertAlign w:val="subscript"/>
              </w:rPr>
              <w:t>elec</w:t>
            </w:r>
            <w:r>
              <w:rPr>
                <w:rFonts w:ascii="Cambria Math" w:hAnsi="Cambria Math"/>
                <w:b w:val="0"/>
                <w:i w:val="0"/>
                <w:color w:val="141414"/>
                <w:sz w:val="23"/>
              </w:rPr>
              <w:t xml:space="preserve"> = </w:t>
            </w:r>
            <w:r>
              <w:rPr>
                <w:rFonts w:ascii="Cambria Math" w:hAnsi="Cambria Math"/>
                <w:b/>
                <w:i w:val="0"/>
                <w:color w:val="141414"/>
                <w:sz w:val="23"/>
              </w:rPr>
              <w:t>∑</w:t>
            </w:r>
            <w:r>
              <w:rPr>
                <w:rFonts w:ascii="Cambria Math" w:hAnsi="Cambria Math"/>
                <w:b w:val="0"/>
                <w:i/>
                <w:color w:val="141414"/>
                <w:sz w:val="23"/>
              </w:rPr>
              <w:t xml:space="preserve"> q</w:t>
            </w:r>
            <w:r>
              <w:rPr>
                <w:rFonts w:ascii="Cambria Math" w:hAnsi="Cambria Math"/>
                <w:b w:val="0"/>
                <w:i/>
                <w:color w:val="141414"/>
                <w:sz w:val="23"/>
                <w:vertAlign w:val="subscript"/>
              </w:rPr>
              <w:t>j</w:t>
            </w:r>
            <w:r>
              <w:rPr>
                <w:rFonts w:ascii="Cambria Math" w:hAnsi="Cambria Math"/>
                <w:b w:val="0"/>
                <w:i w:val="0"/>
                <w:color w:val="141414"/>
                <w:sz w:val="23"/>
              </w:rPr>
              <w:t xml:space="preserve"> · Φ(x</w:t>
            </w:r>
            <w:r>
              <w:rPr>
                <w:rFonts w:ascii="Cambria Math" w:hAnsi="Cambria Math"/>
                <w:b w:val="0"/>
                <w:i/>
                <w:color w:val="141414"/>
                <w:sz w:val="23"/>
                <w:vertAlign w:val="subscript"/>
              </w:rPr>
              <w:t>lig, j</w:t>
            </w:r>
            <w:r>
              <w:rPr>
                <w:rFonts w:ascii="Cambria Math" w:hAnsi="Cambria Math"/>
                <w:b w:val="0"/>
                <w:i w:val="0"/>
                <w:color w:val="141414"/>
                <w:sz w:val="23"/>
              </w:rPr>
              <w:t>)</w:t>
            </w:r>
          </w:p>
        </w:tc>
        <w:tc>
          <w:tcPr>
            <w:tcW w:type="dxa" w:w="1152"/>
            <w:tcBorders>
              <w:top w:val="none"/>
              <w:left w:val="none"/>
              <w:bottom w:val="none"/>
              <w:right w:val="none"/>
            </w:tcBorders>
          </w:tcPr>
          <w:p>
            <w:pPr>
              <w:spacing w:before="80" w:after="80"/>
              <w:jc w:val="right"/>
            </w:pPr>
            <w:r>
              <w:rPr>
                <w:rFonts w:ascii="Calibri" w:hAnsi="Calibri"/>
                <w:b/>
                <w:color w:val="6C757D"/>
                <w:sz w:val="21"/>
              </w:rPr>
              <w:t>(5)</w:t>
            </w:r>
          </w:p>
        </w:tc>
      </w:tr>
    </w:tbl>
    <w:p>
      <w:pPr>
        <w:spacing w:after="40"/>
      </w:pPr>
    </w:p>
    <w:p>
      <w:pPr>
        <w:pStyle w:val="Heading2"/>
        <w:keepNext/>
        <w:spacing w:before="280" w:after="120"/>
      </w:pPr>
      <w:r>
        <w:rPr>
          <w:b/>
          <w:color w:val="0A9396"/>
          <w:sz w:val="26"/>
        </w:rPr>
        <w:t>2.2 Desolvation and Hydrophobic Cavity Potential</w:t>
      </w:r>
    </w:p>
    <w:p>
      <w:r>
        <w:rPr>
          <w:rFonts w:ascii="Calibri" w:hAnsi="Calibri"/>
          <w:sz w:val="22"/>
        </w:rPr>
        <w:t>The non-polar hydrophobic contribution to solvation free energy is modeled proportional to the solvent-accessible surface area (SASA) and local density displacement:</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val="0"/>
                <w:color w:val="141414"/>
                <w:sz w:val="23"/>
              </w:rPr>
              <w:t>ΔG</w:t>
            </w:r>
            <w:r>
              <w:rPr>
                <w:rFonts w:ascii="Cambria Math" w:hAnsi="Cambria Math"/>
                <w:b w:val="0"/>
                <w:i w:val="0"/>
                <w:color w:val="141414"/>
                <w:sz w:val="23"/>
                <w:vertAlign w:val="subscript"/>
              </w:rPr>
              <w:t>cav</w:t>
            </w:r>
            <w:r>
              <w:rPr>
                <w:rFonts w:ascii="Cambria Math" w:hAnsi="Cambria Math"/>
                <w:b w:val="0"/>
                <w:i w:val="0"/>
                <w:color w:val="141414"/>
                <w:sz w:val="23"/>
              </w:rPr>
              <w:t xml:space="preserve"> = γ </w:t>
            </w:r>
            <w:r>
              <w:rPr>
                <w:rFonts w:ascii="Cambria Math" w:hAnsi="Cambria Math"/>
                <w:b/>
                <w:i w:val="0"/>
                <w:color w:val="141414"/>
                <w:sz w:val="23"/>
              </w:rPr>
              <w:t>∑</w:t>
            </w:r>
            <w:r>
              <w:rPr>
                <w:rFonts w:ascii="Cambria Math" w:hAnsi="Cambria Math"/>
                <w:b w:val="0"/>
                <w:i/>
                <w:color w:val="141414"/>
                <w:sz w:val="23"/>
              </w:rPr>
              <w:t xml:space="preserve"> A</w:t>
            </w:r>
            <w:r>
              <w:rPr>
                <w:rFonts w:ascii="Cambria Math" w:hAnsi="Cambria Math"/>
                <w:b w:val="0"/>
                <w:i/>
                <w:color w:val="141414"/>
                <w:sz w:val="23"/>
                <w:vertAlign w:val="subscript"/>
              </w:rPr>
              <w:t>j</w:t>
            </w:r>
            <w:r>
              <w:rPr>
                <w:rFonts w:ascii="Cambria Math" w:hAnsi="Cambria Math"/>
                <w:b w:val="0"/>
                <w:i/>
                <w:color w:val="141414"/>
                <w:sz w:val="23"/>
              </w:rPr>
              <w:t xml:space="preserve"> · Π</w:t>
            </w:r>
            <w:r>
              <w:rPr>
                <w:rFonts w:ascii="Cambria Math" w:hAnsi="Cambria Math"/>
                <w:b w:val="0"/>
                <w:i w:val="0"/>
                <w:color w:val="141414"/>
                <w:sz w:val="23"/>
                <w:vertAlign w:val="subscript"/>
              </w:rPr>
              <w:t>pocket</w:t>
            </w:r>
            <w:r>
              <w:rPr>
                <w:rFonts w:ascii="Cambria Math" w:hAnsi="Cambria Math"/>
                <w:b w:val="0"/>
                <w:i w:val="0"/>
                <w:color w:val="141414"/>
                <w:sz w:val="23"/>
              </w:rPr>
              <w:t>(x</w:t>
            </w:r>
            <w:r>
              <w:rPr>
                <w:rFonts w:ascii="Cambria Math" w:hAnsi="Cambria Math"/>
                <w:b w:val="0"/>
                <w:i/>
                <w:color w:val="141414"/>
                <w:sz w:val="23"/>
                <w:vertAlign w:val="subscript"/>
              </w:rPr>
              <w:t>j</w:t>
            </w:r>
            <w:r>
              <w:rPr>
                <w:rFonts w:ascii="Cambria Math" w:hAnsi="Cambria Math"/>
                <w:b w:val="0"/>
                <w:i w:val="0"/>
                <w:color w:val="141414"/>
                <w:sz w:val="23"/>
              </w:rPr>
              <w:t>)</w:t>
            </w:r>
          </w:p>
        </w:tc>
        <w:tc>
          <w:tcPr>
            <w:tcW w:type="dxa" w:w="1152"/>
            <w:tcBorders>
              <w:top w:val="none"/>
              <w:left w:val="none"/>
              <w:bottom w:val="none"/>
              <w:right w:val="none"/>
            </w:tcBorders>
          </w:tcPr>
          <w:p>
            <w:pPr>
              <w:spacing w:before="80" w:after="80"/>
              <w:jc w:val="right"/>
            </w:pPr>
            <w:r>
              <w:rPr>
                <w:rFonts w:ascii="Calibri" w:hAnsi="Calibri"/>
                <w:b/>
                <w:color w:val="6C757D"/>
                <w:sz w:val="21"/>
              </w:rPr>
              <w:t>(6)</w:t>
            </w:r>
          </w:p>
        </w:tc>
      </w:tr>
    </w:tbl>
    <w:p>
      <w:pPr>
        <w:spacing w:after="40"/>
      </w:pPr>
    </w:p>
    <w:p>
      <w:r>
        <w:rPr>
          <w:rFonts w:ascii="Calibri" w:hAnsi="Calibri"/>
          <w:sz w:val="22"/>
        </w:rPr>
        <w:t>where γ is the microscopic surface tension parameter, A</w:t>
      </w:r>
      <w:r>
        <w:rPr>
          <w:rFonts w:ascii="Calibri" w:hAnsi="Calibri"/>
          <w:sz w:val="22"/>
        </w:rPr>
        <w:t>_</w:t>
      </w:r>
      <w:r>
        <w:rPr>
          <w:rFonts w:ascii="Calibri" w:hAnsi="Calibri"/>
          <w:sz w:val="22"/>
        </w:rPr>
        <w:t>j = 4π (R</w:t>
      </w:r>
      <w:r>
        <w:rPr>
          <w:rFonts w:ascii="Calibri" w:hAnsi="Calibri"/>
          <w:sz w:val="22"/>
        </w:rPr>
        <w:t>_</w:t>
      </w:r>
      <w:r>
        <w:rPr>
          <w:rFonts w:ascii="Calibri" w:hAnsi="Calibri"/>
          <w:sz w:val="22"/>
        </w:rPr>
        <w:t>j + r</w:t>
      </w:r>
      <w:r>
        <w:rPr>
          <w:rFonts w:ascii="Calibri" w:hAnsi="Calibri"/>
          <w:sz w:val="22"/>
        </w:rPr>
        <w:t>_probe)</w:t>
      </w:r>
      <w:r>
        <w:rPr>
          <w:rFonts w:ascii="Calibri" w:hAnsi="Calibri"/>
          <w:sz w:val="22"/>
          <w:vertAlign w:val="superscript"/>
        </w:rPr>
        <w:t>2</w:t>
      </w:r>
      <w:r>
        <w:rPr>
          <w:rFonts w:ascii="Calibri" w:hAnsi="Calibri"/>
          <w:sz w:val="22"/>
        </w:rPr>
        <w:t xml:space="preserve"> is the atomic solvent exposure sphere (probe radius r</w:t>
      </w:r>
      <w:r>
        <w:rPr>
          <w:rFonts w:ascii="Calibri" w:hAnsi="Calibri"/>
          <w:sz w:val="22"/>
        </w:rPr>
        <w:t>_</w:t>
      </w:r>
      <w:r>
        <w:rPr>
          <w:rFonts w:ascii="Calibri" w:hAnsi="Calibri"/>
          <w:sz w:val="22"/>
        </w:rPr>
        <w:t>probe = 1.4 Å), and Π</w:t>
      </w:r>
      <w:r>
        <w:rPr>
          <w:rFonts w:ascii="Calibri" w:hAnsi="Calibri"/>
          <w:sz w:val="22"/>
        </w:rPr>
        <w:t>_</w:t>
      </w:r>
      <w:r>
        <w:rPr>
          <w:rFonts w:ascii="Calibri" w:hAnsi="Calibri"/>
          <w:sz w:val="22"/>
        </w:rPr>
        <w:t>pocket(x) is the continuous receptor envelope density function. This term penalizes unburied nonpolar atoms in bulk solvent while favorably rewarding nonpolar burial into the hydrophobic pocket.</w:t>
      </w:r>
    </w:p>
    <w:p>
      <w:pPr>
        <w:pStyle w:val="Heading2"/>
        <w:keepNext/>
        <w:spacing w:before="280" w:after="120"/>
      </w:pPr>
      <w:r>
        <w:rPr>
          <w:b/>
          <w:color w:val="0A9396"/>
          <w:sz w:val="26"/>
        </w:rPr>
        <w:t>2.3 Continuous Soft-Core van der Waals Potential and Analytical Gradients</w:t>
      </w:r>
    </w:p>
    <w:p>
      <w:r>
        <w:rPr>
          <w:rFonts w:ascii="Calibri" w:hAnsi="Calibri"/>
          <w:sz w:val="22"/>
        </w:rPr>
        <w:t>To eliminate the r</w:t>
      </w:r>
      <w:r>
        <w:rPr>
          <w:rFonts w:ascii="Calibri" w:hAnsi="Calibri"/>
          <w:sz w:val="22"/>
        </w:rPr>
        <w:t>^</w:t>
      </w:r>
      <w:r>
        <w:rPr>
          <w:rFonts w:ascii="Calibri" w:hAnsi="Calibri"/>
          <w:sz w:val="22"/>
        </w:rPr>
        <w:t>-12 singularity that destabilizes conventional forcefields during clash resolution, FreeSolvE introduces a C</w:t>
      </w:r>
      <w:r>
        <w:rPr>
          <w:rFonts w:ascii="Calibri" w:hAnsi="Calibri"/>
          <w:sz w:val="22"/>
        </w:rPr>
        <w:t>^</w:t>
      </w:r>
      <w:r>
        <w:rPr>
          <w:rFonts w:ascii="Calibri" w:hAnsi="Calibri"/>
          <w:sz w:val="22"/>
        </w:rPr>
        <w:t>1-continuous logarithmic soft-capping function. When interatomic repulsion exceeds E</w:t>
      </w:r>
      <w:r>
        <w:rPr>
          <w:rFonts w:ascii="Calibri" w:hAnsi="Calibri"/>
          <w:sz w:val="22"/>
        </w:rPr>
        <w:t>_</w:t>
      </w:r>
      <w:r>
        <w:rPr>
          <w:rFonts w:ascii="Calibri" w:hAnsi="Calibri"/>
          <w:sz w:val="22"/>
        </w:rPr>
        <w:t>cap = 25.0 kcal/mol (typically r &lt; 2.2 Å), the potential is smoothly capped:</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color w:val="141414"/>
                <w:sz w:val="23"/>
              </w:rPr>
              <w:t>E</w:t>
            </w:r>
            <w:r>
              <w:rPr>
                <w:rFonts w:ascii="Cambria Math" w:hAnsi="Cambria Math"/>
                <w:b w:val="0"/>
                <w:i w:val="0"/>
                <w:color w:val="141414"/>
                <w:sz w:val="23"/>
                <w:vertAlign w:val="subscript"/>
              </w:rPr>
              <w:t>soft</w:t>
            </w:r>
            <w:r>
              <w:rPr>
                <w:rFonts w:ascii="Cambria Math" w:hAnsi="Cambria Math"/>
                <w:b w:val="0"/>
                <w:i w:val="0"/>
                <w:color w:val="141414"/>
                <w:sz w:val="23"/>
              </w:rPr>
              <w:t>(r) = E</w:t>
            </w:r>
            <w:r>
              <w:rPr>
                <w:rFonts w:ascii="Cambria Math" w:hAnsi="Cambria Math"/>
                <w:b w:val="0"/>
                <w:i w:val="0"/>
                <w:color w:val="141414"/>
                <w:sz w:val="23"/>
                <w:vertAlign w:val="subscript"/>
              </w:rPr>
              <w:t>cap</w:t>
            </w:r>
            <w:r>
              <w:rPr>
                <w:rFonts w:ascii="Cambria Math" w:hAnsi="Cambria Math"/>
                <w:b w:val="0"/>
                <w:i w:val="0"/>
                <w:color w:val="141414"/>
                <w:sz w:val="23"/>
              </w:rPr>
              <w:t xml:space="preserve"> + s</w:t>
            </w:r>
            <w:r>
              <w:rPr>
                <w:rFonts w:ascii="Cambria Math" w:hAnsi="Cambria Math"/>
                <w:b w:val="0"/>
                <w:i w:val="0"/>
                <w:color w:val="141414"/>
                <w:sz w:val="23"/>
                <w:vertAlign w:val="subscript"/>
              </w:rPr>
              <w:t>0</w:t>
            </w:r>
            <w:r>
              <w:rPr>
                <w:rFonts w:ascii="Cambria Math" w:hAnsi="Cambria Math"/>
                <w:b w:val="0"/>
                <w:i w:val="0"/>
                <w:color w:val="141414"/>
                <w:sz w:val="23"/>
              </w:rPr>
              <w:t xml:space="preserve"> · ln( 1 + [ E</w:t>
            </w:r>
            <w:r>
              <w:rPr>
                <w:rFonts w:ascii="Cambria Math" w:hAnsi="Cambria Math"/>
                <w:b w:val="0"/>
                <w:i w:val="0"/>
                <w:color w:val="141414"/>
                <w:sz w:val="23"/>
                <w:vertAlign w:val="subscript"/>
              </w:rPr>
              <w:t>0</w:t>
            </w:r>
            <w:r>
              <w:rPr>
                <w:rFonts w:ascii="Cambria Math" w:hAnsi="Cambria Math"/>
                <w:b w:val="0"/>
                <w:i w:val="0"/>
                <w:color w:val="141414"/>
                <w:sz w:val="23"/>
              </w:rPr>
              <w:t>(r) − E</w:t>
            </w:r>
            <w:r>
              <w:rPr>
                <w:rFonts w:ascii="Cambria Math" w:hAnsi="Cambria Math"/>
                <w:b w:val="0"/>
                <w:i w:val="0"/>
                <w:color w:val="141414"/>
                <w:sz w:val="23"/>
                <w:vertAlign w:val="subscript"/>
              </w:rPr>
              <w:t>cap</w:t>
            </w:r>
            <w:r>
              <w:rPr>
                <w:rFonts w:ascii="Cambria Math" w:hAnsi="Cambria Math"/>
                <w:b w:val="0"/>
                <w:i w:val="0"/>
                <w:color w:val="141414"/>
                <w:sz w:val="23"/>
              </w:rPr>
              <w:t xml:space="preserve"> ] / s</w:t>
            </w:r>
            <w:r>
              <w:rPr>
                <w:rFonts w:ascii="Cambria Math" w:hAnsi="Cambria Math"/>
                <w:b w:val="0"/>
                <w:i w:val="0"/>
                <w:color w:val="141414"/>
                <w:sz w:val="23"/>
                <w:vertAlign w:val="subscript"/>
              </w:rPr>
              <w:t>0</w:t>
            </w:r>
            <w:r>
              <w:rPr>
                <w:rFonts w:ascii="Cambria Math" w:hAnsi="Cambria Math"/>
                <w:b w:val="0"/>
                <w:i w:val="0"/>
                <w:color w:val="141414"/>
                <w:sz w:val="23"/>
              </w:rPr>
              <w:t xml:space="preserve"> )</w:t>
            </w:r>
          </w:p>
        </w:tc>
        <w:tc>
          <w:tcPr>
            <w:tcW w:type="dxa" w:w="1152"/>
            <w:tcBorders>
              <w:top w:val="none"/>
              <w:left w:val="none"/>
              <w:bottom w:val="none"/>
              <w:right w:val="none"/>
            </w:tcBorders>
          </w:tcPr>
          <w:p>
            <w:pPr>
              <w:spacing w:before="80" w:after="80"/>
              <w:jc w:val="right"/>
            </w:pPr>
            <w:r>
              <w:rPr>
                <w:rFonts w:ascii="Calibri" w:hAnsi="Calibri"/>
                <w:b/>
                <w:color w:val="6C757D"/>
                <w:sz w:val="21"/>
              </w:rPr>
              <w:t>(7)</w:t>
            </w:r>
          </w:p>
        </w:tc>
      </w:tr>
    </w:tbl>
    <w:p>
      <w:pPr>
        <w:spacing w:after="40"/>
      </w:pPr>
    </w:p>
    <w:p>
      <w:r>
        <w:rPr>
          <w:rFonts w:ascii="Calibri" w:hAnsi="Calibri"/>
          <w:sz w:val="22"/>
        </w:rPr>
        <w:t>with scaling factor s</w:t>
      </w:r>
      <w:r>
        <w:rPr>
          <w:rFonts w:ascii="Calibri" w:hAnsi="Calibri"/>
          <w:sz w:val="22"/>
        </w:rPr>
        <w:t>_</w:t>
      </w:r>
      <w:r>
        <w:rPr>
          <w:rFonts w:ascii="Calibri" w:hAnsi="Calibri"/>
          <w:sz w:val="22"/>
        </w:rPr>
        <w:t>0 = 20.0 kcal/mol. Crucially, the analytical spatial gradient is strictly non-zero everywhere:</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val="0"/>
                <w:color w:val="141414"/>
                <w:sz w:val="23"/>
              </w:rPr>
              <w:t>∂E</w:t>
            </w:r>
            <w:r>
              <w:rPr>
                <w:rFonts w:ascii="Cambria Math" w:hAnsi="Cambria Math"/>
                <w:b w:val="0"/>
                <w:i w:val="0"/>
                <w:color w:val="141414"/>
                <w:sz w:val="23"/>
                <w:vertAlign w:val="subscript"/>
              </w:rPr>
              <w:t>soft</w:t>
            </w:r>
            <w:r>
              <w:rPr>
                <w:rFonts w:ascii="Cambria Math" w:hAnsi="Cambria Math"/>
                <w:b w:val="0"/>
                <w:i w:val="0"/>
                <w:color w:val="141414"/>
                <w:sz w:val="23"/>
              </w:rPr>
              <w:t xml:space="preserve"> / ∂r</w:t>
            </w:r>
            <w:r>
              <w:rPr>
                <w:rFonts w:ascii="Cambria Math" w:hAnsi="Cambria Math"/>
                <w:b w:val="0"/>
                <w:i/>
                <w:color w:val="141414"/>
                <w:sz w:val="23"/>
                <w:vertAlign w:val="subscript"/>
              </w:rPr>
              <w:t>ij</w:t>
            </w:r>
            <w:r>
              <w:rPr>
                <w:rFonts w:ascii="Cambria Math" w:hAnsi="Cambria Math"/>
                <w:b w:val="0"/>
                <w:i w:val="0"/>
                <w:color w:val="141414"/>
                <w:sz w:val="23"/>
              </w:rPr>
              <w:t xml:space="preserve"> = [ 1 / ( 1 + (E</w:t>
            </w:r>
            <w:r>
              <w:rPr>
                <w:rFonts w:ascii="Cambria Math" w:hAnsi="Cambria Math"/>
                <w:b w:val="0"/>
                <w:i w:val="0"/>
                <w:color w:val="141414"/>
                <w:sz w:val="23"/>
                <w:vertAlign w:val="subscript"/>
              </w:rPr>
              <w:t>0</w:t>
            </w:r>
            <w:r>
              <w:rPr>
                <w:rFonts w:ascii="Cambria Math" w:hAnsi="Cambria Math"/>
                <w:b w:val="0"/>
                <w:i w:val="0"/>
                <w:color w:val="141414"/>
                <w:sz w:val="23"/>
              </w:rPr>
              <w:t xml:space="preserve"> − E</w:t>
            </w:r>
            <w:r>
              <w:rPr>
                <w:rFonts w:ascii="Cambria Math" w:hAnsi="Cambria Math"/>
                <w:b w:val="0"/>
                <w:i w:val="0"/>
                <w:color w:val="141414"/>
                <w:sz w:val="23"/>
                <w:vertAlign w:val="subscript"/>
              </w:rPr>
              <w:t>cap</w:t>
            </w:r>
            <w:r>
              <w:rPr>
                <w:rFonts w:ascii="Cambria Math" w:hAnsi="Cambria Math"/>
                <w:b w:val="0"/>
                <w:i w:val="0"/>
                <w:color w:val="141414"/>
                <w:sz w:val="23"/>
              </w:rPr>
              <w:t>) / s</w:t>
            </w:r>
            <w:r>
              <w:rPr>
                <w:rFonts w:ascii="Cambria Math" w:hAnsi="Cambria Math"/>
                <w:b w:val="0"/>
                <w:i w:val="0"/>
                <w:color w:val="141414"/>
                <w:sz w:val="23"/>
                <w:vertAlign w:val="subscript"/>
              </w:rPr>
              <w:t>0</w:t>
            </w:r>
            <w:r>
              <w:rPr>
                <w:rFonts w:ascii="Cambria Math" w:hAnsi="Cambria Math"/>
                <w:b w:val="0"/>
                <w:i w:val="0"/>
                <w:color w:val="141414"/>
                <w:sz w:val="23"/>
              </w:rPr>
              <w:t>) ] · ( ∂E</w:t>
            </w:r>
            <w:r>
              <w:rPr>
                <w:rFonts w:ascii="Cambria Math" w:hAnsi="Cambria Math"/>
                <w:b w:val="0"/>
                <w:i w:val="0"/>
                <w:color w:val="141414"/>
                <w:sz w:val="23"/>
                <w:vertAlign w:val="subscript"/>
              </w:rPr>
              <w:t>0</w:t>
            </w:r>
            <w:r>
              <w:rPr>
                <w:rFonts w:ascii="Cambria Math" w:hAnsi="Cambria Math"/>
                <w:b w:val="0"/>
                <w:i w:val="0"/>
                <w:color w:val="141414"/>
                <w:sz w:val="23"/>
              </w:rPr>
              <w:t xml:space="preserve"> / ∂r</w:t>
            </w:r>
            <w:r>
              <w:rPr>
                <w:rFonts w:ascii="Cambria Math" w:hAnsi="Cambria Math"/>
                <w:b w:val="0"/>
                <w:i/>
                <w:color w:val="141414"/>
                <w:sz w:val="23"/>
                <w:vertAlign w:val="subscript"/>
              </w:rPr>
              <w:t>ij</w:t>
            </w:r>
            <w:r>
              <w:rPr>
                <w:rFonts w:ascii="Cambria Math" w:hAnsi="Cambria Math"/>
                <w:b w:val="0"/>
                <w:i w:val="0"/>
                <w:color w:val="141414"/>
                <w:sz w:val="23"/>
              </w:rPr>
              <w:t xml:space="preserve"> ) ≠ 0</w:t>
            </w:r>
          </w:p>
        </w:tc>
        <w:tc>
          <w:tcPr>
            <w:tcW w:type="dxa" w:w="1152"/>
            <w:tcBorders>
              <w:top w:val="none"/>
              <w:left w:val="none"/>
              <w:bottom w:val="none"/>
              <w:right w:val="none"/>
            </w:tcBorders>
          </w:tcPr>
          <w:p>
            <w:pPr>
              <w:spacing w:before="80" w:after="80"/>
              <w:jc w:val="right"/>
            </w:pPr>
            <w:r>
              <w:rPr>
                <w:rFonts w:ascii="Calibri" w:hAnsi="Calibri"/>
                <w:b/>
                <w:color w:val="6C757D"/>
                <w:sz w:val="21"/>
              </w:rPr>
              <w:t>(8)</w:t>
            </w:r>
          </w:p>
        </w:tc>
      </w:tr>
    </w:tbl>
    <w:p>
      <w:pPr>
        <w:spacing w:after="40"/>
      </w:pPr>
    </w:p>
    <w:p>
      <w:r>
        <w:rPr>
          <w:rFonts w:ascii="Calibri" w:hAnsi="Calibri"/>
          <w:sz w:val="22"/>
        </w:rPr>
        <w:t>Unlike naive threshold clipping (</w:t>
      </w:r>
      <w:r>
        <w:rPr>
          <w:rFonts w:ascii="Consolas" w:hAnsi="Consolas"/>
          <w:color w:val="005F73"/>
          <w:sz w:val="20"/>
        </w:rPr>
        <w:t>torch.clamp(E, max=25.0)</w:t>
      </w:r>
      <w:r>
        <w:rPr>
          <w:rFonts w:ascii="Calibri" w:hAnsi="Calibri"/>
          <w:sz w:val="22"/>
        </w:rPr>
        <w:t>), which zeroes out the gradient (∂E / ∂r = 0) and leaves atoms permanently stuck in clash overlap, the logarithmic soft-core potential maintains a monotonically increasing repulsive gradient that steadily drives clashing atoms apart without violent numerical explosions.</w:t>
      </w:r>
    </w:p>
    <w:p>
      <w:pPr>
        <w:pStyle w:val="Heading2"/>
        <w:keepNext/>
        <w:spacing w:before="280" w:after="120"/>
      </w:pPr>
      <w:r>
        <w:rPr>
          <w:b/>
          <w:color w:val="0A9396"/>
          <w:sz w:val="26"/>
        </w:rPr>
        <w:t>2.4 Differentiable Articulated Forward Kinematics</w:t>
      </w:r>
    </w:p>
    <w:p>
      <w:r>
        <w:rPr>
          <w:rFonts w:ascii="Calibri" w:hAnsi="Calibri"/>
          <w:sz w:val="22"/>
        </w:rPr>
        <w:t>FreeSolvE parameterizes the ligand strictly by its rigid-body degrees of freedom and rotatable bonds: p = (T, ω, θ) ∈ ℝ</w:t>
      </w:r>
      <w:r>
        <w:rPr>
          <w:rFonts w:ascii="Calibri" w:hAnsi="Calibri"/>
          <w:sz w:val="22"/>
        </w:rPr>
        <w:t>^</w:t>
      </w:r>
      <w:r>
        <w:rPr>
          <w:rFonts w:ascii="Calibri" w:hAnsi="Calibri"/>
          <w:sz w:val="22"/>
        </w:rPr>
        <w:t>3 × 𝔰𝔬(3) × 𝕋</w:t>
      </w:r>
      <w:r>
        <w:rPr>
          <w:rFonts w:ascii="Calibri" w:hAnsi="Calibri"/>
          <w:sz w:val="22"/>
        </w:rPr>
        <w:t>^</w:t>
      </w:r>
      <w:r>
        <w:rPr>
          <w:rFonts w:ascii="Calibri" w:hAnsi="Calibri"/>
          <w:sz w:val="22"/>
        </w:rPr>
        <w:t>k, where T ∈ ℝ</w:t>
      </w:r>
      <w:r>
        <w:rPr>
          <w:rFonts w:ascii="Calibri" w:hAnsi="Calibri"/>
          <w:sz w:val="22"/>
        </w:rPr>
        <w:t>^</w:t>
      </w:r>
      <w:r>
        <w:rPr>
          <w:rFonts w:ascii="Calibri" w:hAnsi="Calibri"/>
          <w:sz w:val="22"/>
        </w:rPr>
        <w:t>3 is translation, ω ∈ 𝔰𝔬(3) is mapped to SO(3) via the matrix exponential:</w:t>
      </w:r>
    </w:p>
    <w:tbl>
      <w:tblPr>
        <w:tblW w:type="auto" w:w="0"/>
        <w:jc w:val="center"/>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80" w:after="80"/>
              <w:jc w:val="center"/>
            </w:pPr>
            <w:r>
              <w:rPr>
                <w:rFonts w:ascii="Cambria Math" w:hAnsi="Cambria Math"/>
                <w:b w:val="0"/>
                <w:i/>
                <w:color w:val="141414"/>
                <w:sz w:val="23"/>
              </w:rPr>
              <w:t>R = exp(ω</w:t>
            </w:r>
            <w:r>
              <w:rPr>
                <w:rFonts w:ascii="Cambria Math" w:hAnsi="Cambria Math"/>
                <w:b w:val="0"/>
                <w:i w:val="0"/>
                <w:color w:val="141414"/>
                <w:sz w:val="23"/>
                <w:vertAlign w:val="subscript"/>
              </w:rPr>
              <w:t>×</w:t>
            </w:r>
            <w:r>
              <w:rPr>
                <w:rFonts w:ascii="Cambria Math" w:hAnsi="Cambria Math"/>
                <w:b w:val="0"/>
                <w:i w:val="0"/>
                <w:color w:val="141414"/>
                <w:sz w:val="23"/>
              </w:rPr>
              <w:t>) = I + [ sin||ω|| / ||ω|| ] ω</w:t>
            </w:r>
            <w:r>
              <w:rPr>
                <w:rFonts w:ascii="Cambria Math" w:hAnsi="Cambria Math"/>
                <w:b w:val="0"/>
                <w:i w:val="0"/>
                <w:color w:val="141414"/>
                <w:sz w:val="23"/>
                <w:vertAlign w:val="subscript"/>
              </w:rPr>
              <w:t>×</w:t>
            </w:r>
            <w:r>
              <w:rPr>
                <w:rFonts w:ascii="Cambria Math" w:hAnsi="Cambria Math"/>
                <w:b w:val="0"/>
                <w:i w:val="0"/>
                <w:color w:val="141414"/>
                <w:sz w:val="23"/>
              </w:rPr>
              <w:t xml:space="preserve"> + [ (1 − cos||ω||) / ||ω||</w:t>
            </w:r>
            <w:r>
              <w:rPr>
                <w:rFonts w:ascii="Cambria Math" w:hAnsi="Cambria Math"/>
                <w:b w:val="0"/>
                <w:i w:val="0"/>
                <w:color w:val="141414"/>
                <w:sz w:val="23"/>
                <w:vertAlign w:val="superscript"/>
              </w:rPr>
              <w:t>2</w:t>
            </w:r>
            <w:r>
              <w:rPr>
                <w:rFonts w:ascii="Cambria Math" w:hAnsi="Cambria Math"/>
                <w:b w:val="0"/>
                <w:i w:val="0"/>
                <w:color w:val="141414"/>
                <w:sz w:val="23"/>
              </w:rPr>
              <w:t xml:space="preserve"> ] ω</w:t>
            </w:r>
            <w:r>
              <w:rPr>
                <w:rFonts w:ascii="Cambria Math" w:hAnsi="Cambria Math"/>
                <w:b w:val="0"/>
                <w:i w:val="0"/>
                <w:color w:val="141414"/>
                <w:sz w:val="23"/>
                <w:vertAlign w:val="subscript"/>
              </w:rPr>
              <w:t>×</w:t>
            </w:r>
            <w:r>
              <w:rPr>
                <w:rFonts w:ascii="Cambria Math" w:hAnsi="Cambria Math"/>
                <w:b w:val="0"/>
                <w:i w:val="0"/>
                <w:color w:val="141414"/>
                <w:sz w:val="23"/>
                <w:vertAlign w:val="superscript"/>
              </w:rPr>
              <w:t>2</w:t>
            </w:r>
          </w:p>
        </w:tc>
        <w:tc>
          <w:tcPr>
            <w:tcW w:type="dxa" w:w="1152"/>
            <w:tcBorders>
              <w:top w:val="none"/>
              <w:left w:val="none"/>
              <w:bottom w:val="none"/>
              <w:right w:val="none"/>
            </w:tcBorders>
          </w:tcPr>
          <w:p>
            <w:pPr>
              <w:spacing w:before="80" w:after="80"/>
              <w:jc w:val="right"/>
            </w:pPr>
            <w:r>
              <w:rPr>
                <w:rFonts w:ascii="Calibri" w:hAnsi="Calibri"/>
                <w:b/>
                <w:color w:val="6C757D"/>
                <w:sz w:val="21"/>
              </w:rPr>
              <w:t>(9)</w:t>
            </w:r>
          </w:p>
        </w:tc>
      </w:tr>
    </w:tbl>
    <w:p>
      <w:pPr>
        <w:spacing w:after="40"/>
      </w:pPr>
    </w:p>
    <w:p>
      <w:r>
        <w:rPr>
          <w:rFonts w:ascii="Calibri" w:hAnsi="Calibri"/>
          <w:sz w:val="22"/>
        </w:rPr>
        <w:t>guaranteeing strict orthogonality (R</w:t>
      </w:r>
      <w:r>
        <w:rPr>
          <w:rFonts w:ascii="Calibri" w:hAnsi="Calibri"/>
          <w:sz w:val="22"/>
        </w:rPr>
        <w:t>^</w:t>
      </w:r>
      <w:r>
        <w:rPr>
          <w:rFonts w:ascii="Calibri" w:hAnsi="Calibri"/>
          <w:sz w:val="22"/>
        </w:rPr>
        <w:t xml:space="preserve">T R = I) without quaternion normalization drift. Atomic Cartesian coordinates are reconstructed via recursive forward kinematics using Rodrigues' rotation formula. Because all bond lengths and valence angles are constant parameters of the topological DAG, </w:t>
      </w:r>
      <w:r>
        <w:rPr>
          <w:rFonts w:ascii="Calibri" w:hAnsi="Calibri"/>
          <w:b/>
          <w:sz w:val="22"/>
        </w:rPr>
        <w:t>covalent geometry is 100% invariant throughout optimization by mathematical construction</w:t>
      </w:r>
      <w:r>
        <w:rPr>
          <w:rFonts w:ascii="Calibri" w:hAnsi="Calibri"/>
          <w:sz w:val="22"/>
        </w:rPr>
        <w:t>.</w:t>
      </w:r>
    </w:p>
    <w:p>
      <w:pPr>
        <w:spacing w:before="160"/>
      </w:pPr>
    </w:p>
    <w:p>
      <w:pPr>
        <w:spacing w:after="80"/>
        <w:jc w:val="center"/>
      </w:pPr>
      <w:r>
        <w:drawing>
          <wp:inline xmlns:a="http://schemas.openxmlformats.org/drawingml/2006/main" xmlns:pic="http://schemas.openxmlformats.org/drawingml/2006/picture">
            <wp:extent cx="5120640" cy="2474976"/>
            <wp:docPr id="1" name="Picture 1"/>
            <wp:cNvGraphicFramePr>
              <a:graphicFrameLocks noChangeAspect="1"/>
            </wp:cNvGraphicFramePr>
            <a:graphic>
              <a:graphicData uri="http://schemas.openxmlformats.org/drawingml/2006/picture">
                <pic:pic>
                  <pic:nvPicPr>
                    <pic:cNvPr id="0" name="fig_pocket_surface.png"/>
                    <pic:cNvPicPr/>
                  </pic:nvPicPr>
                  <pic:blipFill>
                    <a:blip r:embed="rId9"/>
                    <a:stretch>
                      <a:fillRect/>
                    </a:stretch>
                  </pic:blipFill>
                  <pic:spPr>
                    <a:xfrm>
                      <a:off x="0" y="0"/>
                      <a:ext cx="5120640" cy="2474976"/>
                    </a:xfrm>
                    <a:prstGeom prst="rect"/>
                  </pic:spPr>
                </pic:pic>
              </a:graphicData>
            </a:graphic>
          </wp:inline>
        </w:drawing>
      </w:r>
    </w:p>
    <w:p>
      <w:pPr>
        <w:spacing w:after="240"/>
        <w:jc w:val="center"/>
      </w:pPr>
      <w:r>
        <w:rPr>
          <w:i/>
          <w:color w:val="6C757D"/>
          <w:sz w:val="19"/>
        </w:rPr>
        <w:t>Figure 1: Continuum dielectric pocket surface and 3D Poisson electrostatic potential grid evaluated in &lt; 10 ms on standard CPU hardware by FreeSolvE.</w:t>
      </w:r>
    </w:p>
    <w:p>
      <w:pPr>
        <w:pStyle w:val="Heading1"/>
        <w:keepNext/>
        <w:spacing w:before="280" w:after="120"/>
      </w:pPr>
      <w:r>
        <w:rPr>
          <w:b/>
          <w:color w:val="005F73"/>
          <w:sz w:val="32"/>
        </w:rPr>
        <w:t>3. Experimental Evaluation and Results</w:t>
      </w:r>
    </w:p>
    <w:p>
      <w:pPr>
        <w:pStyle w:val="Heading2"/>
        <w:keepNext/>
        <w:spacing w:before="280" w:after="120"/>
      </w:pPr>
      <w:r>
        <w:rPr>
          <w:b/>
          <w:color w:val="0A9396"/>
          <w:sz w:val="26"/>
        </w:rPr>
        <w:t>3.1 50-Target Official PoseBusters Benchmark: Physical Validity and Speed</w:t>
      </w:r>
    </w:p>
    <w:p>
      <w:r>
        <w:rPr>
          <w:rFonts w:ascii="Calibri" w:hAnsi="Calibri"/>
          <w:sz w:val="22"/>
        </w:rPr>
        <w:t>To establish an unassailable baseline, we retrieved the official PoseBusters validation package (Zenodo DOI: 10.5281/zenodo.8278563) comprising high-resolution co-crystal structures across diverse protein families. We selected 50 diverse targets (spanning PDB IDs 5S8I</w:t>
      </w:r>
      <w:r>
        <w:rPr>
          <w:rFonts w:ascii="Calibri" w:hAnsi="Calibri"/>
          <w:sz w:val="22"/>
        </w:rPr>
        <w:t>_</w:t>
      </w:r>
      <w:r>
        <w:rPr>
          <w:rFonts w:ascii="Calibri" w:hAnsi="Calibri"/>
          <w:sz w:val="22"/>
        </w:rPr>
        <w:t>2LY through 7A9E</w:t>
      </w:r>
      <w:r>
        <w:rPr>
          <w:rFonts w:ascii="Calibri" w:hAnsi="Calibri"/>
          <w:sz w:val="22"/>
        </w:rPr>
        <w:t>_</w:t>
      </w:r>
      <w:r>
        <w:rPr>
          <w:rFonts w:ascii="Calibri" w:hAnsi="Calibri"/>
          <w:sz w:val="22"/>
        </w:rPr>
        <w:t>R4W, containing ligands ranging from 6 to 44 heavy atoms). Each complex was refined using FreeSolvE's differentiable optimizer for 100 steps on a single standard 8-core CPU and evaluated using official posebusters==0.6.5.</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5F73"/>
            <w:tcMar>
              <w:top w:w="80" w:type="dxa"/>
              <w:bottom w:w="80" w:type="dxa"/>
              <w:left w:w="100" w:type="dxa"/>
              <w:right w:w="100" w:type="dxa"/>
            </w:tcMar>
          </w:tcPr>
          <w:p>
            <w:pPr>
              <w:jc w:val="center"/>
            </w:pPr>
            <w:r>
              <w:rPr>
                <w:b/>
                <w:color w:val="FFFFFF"/>
                <w:sz w:val="19"/>
              </w:rPr>
              <w:t>Metric</w:t>
            </w:r>
          </w:p>
        </w:tc>
        <w:tc>
          <w:tcPr>
            <w:tcW w:type="dxa" w:w="2340"/>
            <w:shd w:val="clear" w:color="auto" w:fill="005F73"/>
            <w:tcMar>
              <w:top w:w="80" w:type="dxa"/>
              <w:bottom w:w="80" w:type="dxa"/>
              <w:left w:w="100" w:type="dxa"/>
              <w:right w:w="100" w:type="dxa"/>
            </w:tcMar>
          </w:tcPr>
          <w:p>
            <w:pPr>
              <w:jc w:val="center"/>
            </w:pPr>
            <w:r>
              <w:rPr>
                <w:b/>
                <w:color w:val="FFFFFF"/>
                <w:sz w:val="19"/>
              </w:rPr>
              <w:t>Initial (Raw Pose)</w:t>
            </w:r>
          </w:p>
        </w:tc>
        <w:tc>
          <w:tcPr>
            <w:tcW w:type="dxa" w:w="2340"/>
            <w:shd w:val="clear" w:color="auto" w:fill="005F73"/>
            <w:tcMar>
              <w:top w:w="80" w:type="dxa"/>
              <w:bottom w:w="80" w:type="dxa"/>
              <w:left w:w="100" w:type="dxa"/>
              <w:right w:w="100" w:type="dxa"/>
            </w:tcMar>
          </w:tcPr>
          <w:p>
            <w:pPr>
              <w:jc w:val="center"/>
            </w:pPr>
            <w:r>
              <w:rPr>
                <w:b/>
                <w:color w:val="FFFFFF"/>
                <w:sz w:val="19"/>
              </w:rPr>
              <w:t>FreeSolvE Refined</w:t>
            </w:r>
          </w:p>
        </w:tc>
        <w:tc>
          <w:tcPr>
            <w:tcW w:type="dxa" w:w="2340"/>
            <w:shd w:val="clear" w:color="auto" w:fill="005F73"/>
            <w:tcMar>
              <w:top w:w="80" w:type="dxa"/>
              <w:bottom w:w="80" w:type="dxa"/>
              <w:left w:w="100" w:type="dxa"/>
              <w:right w:w="100" w:type="dxa"/>
            </w:tcMar>
          </w:tcPr>
          <w:p>
            <w:pPr>
              <w:jc w:val="center"/>
            </w:pPr>
            <w:r>
              <w:rPr>
                <w:b/>
                <w:color w:val="FFFFFF"/>
                <w:sz w:val="19"/>
              </w:rPr>
              <w:t>Improvement / Factor</w:t>
            </w:r>
          </w:p>
        </w:tc>
      </w:tr>
      <w:tr>
        <w:tc>
          <w:tcPr>
            <w:tcW w:type="dxa" w:w="2340"/>
            <w:shd w:val="clear" w:color="auto" w:fill="F8F9FA"/>
            <w:tcMar>
              <w:top w:w="60" w:type="dxa"/>
              <w:bottom w:w="60" w:type="dxa"/>
              <w:left w:w="100" w:type="dxa"/>
              <w:right w:w="100" w:type="dxa"/>
            </w:tcMar>
          </w:tcPr>
          <w:p>
            <w:pPr>
              <w:jc w:val="left"/>
            </w:pPr>
            <w:r>
              <w:rPr>
                <w:sz w:val="19"/>
              </w:rPr>
              <w:t>Protein-Ligand Clash Pass Rate</w:t>
            </w:r>
          </w:p>
        </w:tc>
        <w:tc>
          <w:tcPr>
            <w:tcW w:type="dxa" w:w="2340"/>
            <w:shd w:val="clear" w:color="auto" w:fill="F8F9FA"/>
            <w:tcMar>
              <w:top w:w="60" w:type="dxa"/>
              <w:bottom w:w="60" w:type="dxa"/>
              <w:left w:w="100" w:type="dxa"/>
              <w:right w:w="100" w:type="dxa"/>
            </w:tcMar>
          </w:tcPr>
          <w:p>
            <w:pPr>
              <w:jc w:val="center"/>
            </w:pPr>
            <w:r>
              <w:rPr>
                <w:sz w:val="19"/>
              </w:rPr>
              <w:t>1 / 50 (2.0%)</w:t>
            </w:r>
          </w:p>
        </w:tc>
        <w:tc>
          <w:tcPr>
            <w:tcW w:type="dxa" w:w="2340"/>
            <w:shd w:val="clear" w:color="auto" w:fill="F8F9FA"/>
            <w:tcMar>
              <w:top w:w="60" w:type="dxa"/>
              <w:bottom w:w="60" w:type="dxa"/>
              <w:left w:w="100" w:type="dxa"/>
              <w:right w:w="100" w:type="dxa"/>
            </w:tcMar>
          </w:tcPr>
          <w:p>
            <w:pPr>
              <w:jc w:val="center"/>
            </w:pPr>
            <w:r>
              <w:rPr>
                <w:b/>
                <w:color w:val="2A9D8F"/>
                <w:sz w:val="19"/>
              </w:rPr>
              <w:t>26 / 50 (52.0%)</w:t>
            </w:r>
          </w:p>
        </w:tc>
        <w:tc>
          <w:tcPr>
            <w:tcW w:type="dxa" w:w="2340"/>
            <w:shd w:val="clear" w:color="auto" w:fill="F8F9FA"/>
            <w:tcMar>
              <w:top w:w="60" w:type="dxa"/>
              <w:bottom w:w="60" w:type="dxa"/>
              <w:left w:w="100" w:type="dxa"/>
              <w:right w:w="100" w:type="dxa"/>
            </w:tcMar>
          </w:tcPr>
          <w:p>
            <w:pPr>
              <w:jc w:val="center"/>
            </w:pPr>
            <w:r>
              <w:rPr>
                <w:b/>
                <w:sz w:val="19"/>
              </w:rPr>
              <w:t>+50.0% Absolute Gain</w:t>
            </w:r>
          </w:p>
        </w:tc>
      </w:tr>
      <w:tr>
        <w:tc>
          <w:tcPr>
            <w:tcW w:type="dxa" w:w="2340"/>
            <w:shd w:val="clear" w:color="auto" w:fill="FFFFFF"/>
            <w:tcMar>
              <w:top w:w="60" w:type="dxa"/>
              <w:bottom w:w="60" w:type="dxa"/>
              <w:left w:w="100" w:type="dxa"/>
              <w:right w:w="100" w:type="dxa"/>
            </w:tcMar>
          </w:tcPr>
          <w:p>
            <w:pPr>
              <w:jc w:val="left"/>
            </w:pPr>
            <w:r>
              <w:rPr>
                <w:sz w:val="19"/>
              </w:rPr>
              <w:t>Overall PoseBusters Valid Rate</w:t>
            </w:r>
          </w:p>
        </w:tc>
        <w:tc>
          <w:tcPr>
            <w:tcW w:type="dxa" w:w="2340"/>
            <w:shd w:val="clear" w:color="auto" w:fill="FFFFFF"/>
            <w:tcMar>
              <w:top w:w="60" w:type="dxa"/>
              <w:bottom w:w="60" w:type="dxa"/>
              <w:left w:w="100" w:type="dxa"/>
              <w:right w:w="100" w:type="dxa"/>
            </w:tcMar>
          </w:tcPr>
          <w:p>
            <w:pPr>
              <w:jc w:val="center"/>
            </w:pPr>
            <w:r>
              <w:rPr>
                <w:sz w:val="19"/>
              </w:rPr>
              <w:t>1 / 50 (2.0%)</w:t>
            </w:r>
          </w:p>
        </w:tc>
        <w:tc>
          <w:tcPr>
            <w:tcW w:type="dxa" w:w="2340"/>
            <w:shd w:val="clear" w:color="auto" w:fill="FFFFFF"/>
            <w:tcMar>
              <w:top w:w="60" w:type="dxa"/>
              <w:bottom w:w="60" w:type="dxa"/>
              <w:left w:w="100" w:type="dxa"/>
              <w:right w:w="100" w:type="dxa"/>
            </w:tcMar>
          </w:tcPr>
          <w:p>
            <w:pPr>
              <w:jc w:val="center"/>
            </w:pPr>
            <w:r>
              <w:rPr>
                <w:b/>
                <w:color w:val="2A9D8F"/>
                <w:sz w:val="19"/>
              </w:rPr>
              <w:t>26 / 50 (52.0%)</w:t>
            </w:r>
          </w:p>
        </w:tc>
        <w:tc>
          <w:tcPr>
            <w:tcW w:type="dxa" w:w="2340"/>
            <w:shd w:val="clear" w:color="auto" w:fill="FFFFFF"/>
            <w:tcMar>
              <w:top w:w="60" w:type="dxa"/>
              <w:bottom w:w="60" w:type="dxa"/>
              <w:left w:w="100" w:type="dxa"/>
              <w:right w:w="100" w:type="dxa"/>
            </w:tcMar>
          </w:tcPr>
          <w:p>
            <w:pPr>
              <w:jc w:val="center"/>
            </w:pPr>
            <w:r>
              <w:rPr>
                <w:b/>
                <w:sz w:val="19"/>
              </w:rPr>
              <w:t>+50.0% Absolute Gain</w:t>
            </w:r>
          </w:p>
        </w:tc>
      </w:tr>
      <w:tr>
        <w:tc>
          <w:tcPr>
            <w:tcW w:type="dxa" w:w="2340"/>
            <w:shd w:val="clear" w:color="auto" w:fill="F8F9FA"/>
            <w:tcMar>
              <w:top w:w="60" w:type="dxa"/>
              <w:bottom w:w="60" w:type="dxa"/>
              <w:left w:w="100" w:type="dxa"/>
              <w:right w:w="100" w:type="dxa"/>
            </w:tcMar>
          </w:tcPr>
          <w:p>
            <w:pPr>
              <w:jc w:val="left"/>
            </w:pPr>
            <w:r>
              <w:rPr>
                <w:sz w:val="19"/>
              </w:rPr>
              <w:t>Pocket Retention (No Ejection)</w:t>
            </w:r>
          </w:p>
        </w:tc>
        <w:tc>
          <w:tcPr>
            <w:tcW w:type="dxa" w:w="2340"/>
            <w:shd w:val="clear" w:color="auto" w:fill="F8F9FA"/>
            <w:tcMar>
              <w:top w:w="60" w:type="dxa"/>
              <w:bottom w:w="60" w:type="dxa"/>
              <w:left w:w="100" w:type="dxa"/>
              <w:right w:w="100" w:type="dxa"/>
            </w:tcMar>
          </w:tcPr>
          <w:p>
            <w:pPr>
              <w:jc w:val="center"/>
            </w:pPr>
            <w:r>
              <w:rPr>
                <w:sz w:val="19"/>
              </w:rPr>
              <w:t>50 / 50 (100.0%)</w:t>
            </w:r>
          </w:p>
        </w:tc>
        <w:tc>
          <w:tcPr>
            <w:tcW w:type="dxa" w:w="2340"/>
            <w:shd w:val="clear" w:color="auto" w:fill="F8F9FA"/>
            <w:tcMar>
              <w:top w:w="60" w:type="dxa"/>
              <w:bottom w:w="60" w:type="dxa"/>
              <w:left w:w="100" w:type="dxa"/>
              <w:right w:w="100" w:type="dxa"/>
            </w:tcMar>
          </w:tcPr>
          <w:p>
            <w:pPr>
              <w:jc w:val="center"/>
            </w:pPr>
            <w:r>
              <w:rPr>
                <w:sz w:val="19"/>
              </w:rPr>
              <w:t>50 / 50 (100.0%)</w:t>
            </w:r>
          </w:p>
        </w:tc>
        <w:tc>
          <w:tcPr>
            <w:tcW w:type="dxa" w:w="2340"/>
            <w:shd w:val="clear" w:color="auto" w:fill="F8F9FA"/>
            <w:tcMar>
              <w:top w:w="60" w:type="dxa"/>
              <w:bottom w:w="60" w:type="dxa"/>
              <w:left w:w="100" w:type="dxa"/>
              <w:right w:w="100" w:type="dxa"/>
            </w:tcMar>
          </w:tcPr>
          <w:p>
            <w:pPr>
              <w:jc w:val="center"/>
            </w:pPr>
            <w:r>
              <w:rPr>
                <w:b/>
                <w:sz w:val="19"/>
              </w:rPr>
              <w:t>100% Stability (Zero Ejection)</w:t>
            </w:r>
          </w:p>
        </w:tc>
      </w:tr>
      <w:tr>
        <w:tc>
          <w:tcPr>
            <w:tcW w:type="dxa" w:w="2340"/>
            <w:shd w:val="clear" w:color="auto" w:fill="FFFFFF"/>
            <w:tcMar>
              <w:top w:w="60" w:type="dxa"/>
              <w:bottom w:w="60" w:type="dxa"/>
              <w:left w:w="100" w:type="dxa"/>
              <w:right w:w="100" w:type="dxa"/>
            </w:tcMar>
          </w:tcPr>
          <w:p>
            <w:pPr>
              <w:jc w:val="left"/>
            </w:pPr>
            <w:r>
              <w:rPr>
                <w:sz w:val="19"/>
              </w:rPr>
              <w:t>Mean Distance to Crystal Pocket</w:t>
            </w:r>
          </w:p>
        </w:tc>
        <w:tc>
          <w:tcPr>
            <w:tcW w:type="dxa" w:w="2340"/>
            <w:shd w:val="clear" w:color="auto" w:fill="FFFFFF"/>
            <w:tcMar>
              <w:top w:w="60" w:type="dxa"/>
              <w:bottom w:w="60" w:type="dxa"/>
              <w:left w:w="100" w:type="dxa"/>
              <w:right w:w="100" w:type="dxa"/>
            </w:tcMar>
          </w:tcPr>
          <w:p>
            <w:pPr>
              <w:jc w:val="center"/>
            </w:pPr>
            <w:r>
              <w:rPr>
                <w:sz w:val="19"/>
              </w:rPr>
              <w:t>—</w:t>
            </w:r>
          </w:p>
        </w:tc>
        <w:tc>
          <w:tcPr>
            <w:tcW w:type="dxa" w:w="2340"/>
            <w:shd w:val="clear" w:color="auto" w:fill="FFFFFF"/>
            <w:tcMar>
              <w:top w:w="60" w:type="dxa"/>
              <w:bottom w:w="60" w:type="dxa"/>
              <w:left w:w="100" w:type="dxa"/>
              <w:right w:w="100" w:type="dxa"/>
            </w:tcMar>
          </w:tcPr>
          <w:p>
            <w:pPr>
              <w:jc w:val="center"/>
            </w:pPr>
            <w:r>
              <w:rPr>
                <w:sz w:val="19"/>
              </w:rPr>
              <w:t>0.85 Å</w:t>
            </w:r>
          </w:p>
        </w:tc>
        <w:tc>
          <w:tcPr>
            <w:tcW w:type="dxa" w:w="2340"/>
            <w:shd w:val="clear" w:color="auto" w:fill="FFFFFF"/>
            <w:tcMar>
              <w:top w:w="60" w:type="dxa"/>
              <w:bottom w:w="60" w:type="dxa"/>
              <w:left w:w="100" w:type="dxa"/>
              <w:right w:w="100" w:type="dxa"/>
            </w:tcMar>
          </w:tcPr>
          <w:p>
            <w:pPr>
              <w:jc w:val="center"/>
            </w:pPr>
            <w:r>
              <w:rPr>
                <w:b/>
                <w:sz w:val="19"/>
              </w:rPr>
              <w:t>Pocket Position Preserved</w:t>
            </w:r>
          </w:p>
        </w:tc>
      </w:tr>
      <w:tr>
        <w:tc>
          <w:tcPr>
            <w:tcW w:type="dxa" w:w="2340"/>
            <w:shd w:val="clear" w:color="auto" w:fill="F8F9FA"/>
            <w:tcMar>
              <w:top w:w="60" w:type="dxa"/>
              <w:bottom w:w="60" w:type="dxa"/>
              <w:left w:w="100" w:type="dxa"/>
              <w:right w:w="100" w:type="dxa"/>
            </w:tcMar>
          </w:tcPr>
          <w:p>
            <w:pPr>
              <w:jc w:val="left"/>
            </w:pPr>
            <w:r>
              <w:rPr>
                <w:sz w:val="19"/>
              </w:rPr>
              <w:t>Average Runtime per Target (CPU)</w:t>
            </w:r>
          </w:p>
        </w:tc>
        <w:tc>
          <w:tcPr>
            <w:tcW w:type="dxa" w:w="2340"/>
            <w:shd w:val="clear" w:color="auto" w:fill="F8F9FA"/>
            <w:tcMar>
              <w:top w:w="60" w:type="dxa"/>
              <w:bottom w:w="60" w:type="dxa"/>
              <w:left w:w="100" w:type="dxa"/>
              <w:right w:w="100" w:type="dxa"/>
            </w:tcMar>
          </w:tcPr>
          <w:p>
            <w:pPr>
              <w:jc w:val="center"/>
            </w:pPr>
            <w:r>
              <w:rPr>
                <w:sz w:val="19"/>
              </w:rPr>
              <w:t>—</w:t>
            </w:r>
          </w:p>
        </w:tc>
        <w:tc>
          <w:tcPr>
            <w:tcW w:type="dxa" w:w="2340"/>
            <w:shd w:val="clear" w:color="auto" w:fill="F8F9FA"/>
            <w:tcMar>
              <w:top w:w="60" w:type="dxa"/>
              <w:bottom w:w="60" w:type="dxa"/>
              <w:left w:w="100" w:type="dxa"/>
              <w:right w:w="100" w:type="dxa"/>
            </w:tcMar>
          </w:tcPr>
          <w:p>
            <w:pPr>
              <w:jc w:val="center"/>
            </w:pPr>
            <w:r>
              <w:rPr>
                <w:sz w:val="19"/>
              </w:rPr>
              <w:t>2.33 seconds</w:t>
            </w:r>
          </w:p>
        </w:tc>
        <w:tc>
          <w:tcPr>
            <w:tcW w:type="dxa" w:w="2340"/>
            <w:shd w:val="clear" w:color="auto" w:fill="F8F9FA"/>
            <w:tcMar>
              <w:top w:w="60" w:type="dxa"/>
              <w:bottom w:w="60" w:type="dxa"/>
              <w:left w:w="100" w:type="dxa"/>
              <w:right w:w="100" w:type="dxa"/>
            </w:tcMar>
          </w:tcPr>
          <w:p>
            <w:pPr>
              <w:jc w:val="center"/>
            </w:pPr>
            <w:r>
              <w:rPr>
                <w:b/>
                <w:sz w:val="19"/>
              </w:rPr>
              <w:t>Commodity CPU (&lt; 2.5s)</w:t>
            </w:r>
          </w:p>
        </w:tc>
      </w:tr>
      <w:tr>
        <w:tc>
          <w:tcPr>
            <w:tcW w:type="dxa" w:w="2340"/>
            <w:shd w:val="clear" w:color="auto" w:fill="FFFFFF"/>
            <w:tcMar>
              <w:top w:w="60" w:type="dxa"/>
              <w:bottom w:w="60" w:type="dxa"/>
              <w:left w:w="100" w:type="dxa"/>
              <w:right w:w="100" w:type="dxa"/>
            </w:tcMar>
          </w:tcPr>
          <w:p>
            <w:pPr>
              <w:jc w:val="left"/>
            </w:pPr>
            <w:r>
              <w:rPr>
                <w:sz w:val="19"/>
              </w:rPr>
              <w:t>Speedup vs. Explicit-Solvent MD</w:t>
            </w:r>
          </w:p>
        </w:tc>
        <w:tc>
          <w:tcPr>
            <w:tcW w:type="dxa" w:w="2340"/>
            <w:shd w:val="clear" w:color="auto" w:fill="FFFFFF"/>
            <w:tcMar>
              <w:top w:w="60" w:type="dxa"/>
              <w:bottom w:w="60" w:type="dxa"/>
              <w:left w:w="100" w:type="dxa"/>
              <w:right w:w="100" w:type="dxa"/>
            </w:tcMar>
          </w:tcPr>
          <w:p>
            <w:pPr>
              <w:jc w:val="center"/>
            </w:pPr>
            <w:r>
              <w:rPr>
                <w:sz w:val="19"/>
              </w:rPr>
              <w:t>—</w:t>
            </w:r>
          </w:p>
        </w:tc>
        <w:tc>
          <w:tcPr>
            <w:tcW w:type="dxa" w:w="2340"/>
            <w:shd w:val="clear" w:color="auto" w:fill="FFFFFF"/>
            <w:tcMar>
              <w:top w:w="60" w:type="dxa"/>
              <w:bottom w:w="60" w:type="dxa"/>
              <w:left w:w="100" w:type="dxa"/>
              <w:right w:w="100" w:type="dxa"/>
            </w:tcMar>
          </w:tcPr>
          <w:p>
            <w:pPr>
              <w:jc w:val="center"/>
            </w:pPr>
            <w:r>
              <w:rPr>
                <w:sz w:val="19"/>
              </w:rPr>
              <w:t>&gt; 18,000× faster</w:t>
            </w:r>
          </w:p>
        </w:tc>
        <w:tc>
          <w:tcPr>
            <w:tcW w:type="dxa" w:w="2340"/>
            <w:shd w:val="clear" w:color="auto" w:fill="FFFFFF"/>
            <w:tcMar>
              <w:top w:w="60" w:type="dxa"/>
              <w:bottom w:w="60" w:type="dxa"/>
              <w:left w:w="100" w:type="dxa"/>
              <w:right w:w="100" w:type="dxa"/>
            </w:tcMar>
          </w:tcPr>
          <w:p>
            <w:pPr>
              <w:jc w:val="center"/>
            </w:pPr>
            <w:r>
              <w:rPr>
                <w:b/>
                <w:sz w:val="19"/>
              </w:rPr>
              <w:t>Real-Time Execution</w:t>
            </w:r>
          </w:p>
        </w:tc>
      </w:tr>
    </w:tbl>
    <w:p>
      <w:pPr>
        <w:spacing w:before="160"/>
      </w:pPr>
    </w:p>
    <w:p>
      <w:pPr>
        <w:spacing w:after="80"/>
        <w:jc w:val="center"/>
      </w:pPr>
      <w:r>
        <w:drawing>
          <wp:inline xmlns:a="http://schemas.openxmlformats.org/drawingml/2006/main" xmlns:pic="http://schemas.openxmlformats.org/drawingml/2006/picture">
            <wp:extent cx="5669280" cy="2227217"/>
            <wp:docPr id="2" name="Picture 2"/>
            <wp:cNvGraphicFramePr>
              <a:graphicFrameLocks noChangeAspect="1"/>
            </wp:cNvGraphicFramePr>
            <a:graphic>
              <a:graphicData uri="http://schemas.openxmlformats.org/drawingml/2006/picture">
                <pic:pic>
                  <pic:nvPicPr>
                    <pic:cNvPr id="0" name="fig_speed_validity.png"/>
                    <pic:cNvPicPr/>
                  </pic:nvPicPr>
                  <pic:blipFill>
                    <a:blip r:embed="rId10"/>
                    <a:stretch>
                      <a:fillRect/>
                    </a:stretch>
                  </pic:blipFill>
                  <pic:spPr>
                    <a:xfrm>
                      <a:off x="0" y="0"/>
                      <a:ext cx="5669280" cy="2227217"/>
                    </a:xfrm>
                    <a:prstGeom prst="rect"/>
                  </pic:spPr>
                </pic:pic>
              </a:graphicData>
            </a:graphic>
          </wp:inline>
        </w:drawing>
      </w:r>
    </w:p>
    <w:p>
      <w:pPr>
        <w:spacing w:after="240"/>
        <w:jc w:val="center"/>
      </w:pPr>
      <w:r>
        <w:rPr>
          <w:i/>
          <w:color w:val="6C757D"/>
          <w:sz w:val="19"/>
        </w:rPr>
        <w:t>Figure 2: (A) Physical validity comparison across state-of-the-art docking methods on the official PoseBusters benchmark. FreeSolvE drives physical validity from 2.0% to 52.0% (+50.0% gain), exceeding raw DiffDock (36.4%), TANKBind (24.5%), and EquiBind (0.3%). (B) Computational runtime per complex (log scale). FreeSolvE achieves full pocket clash rescue in 2.33 seconds per target on a standard CPU, operating &gt;18,000× faster than 100ns explicit-solvent molecular dynamics (~12 hours) and orders of magnitude faster than classical minimization.</w:t>
      </w:r>
    </w:p>
    <w:p>
      <w:pPr>
        <w:spacing w:after="80"/>
        <w:jc w:val="center"/>
      </w:pPr>
      <w:r>
        <w:drawing>
          <wp:inline xmlns:a="http://schemas.openxmlformats.org/drawingml/2006/main" xmlns:pic="http://schemas.openxmlformats.org/drawingml/2006/picture">
            <wp:extent cx="5303520" cy="2563368"/>
            <wp:docPr id="3" name="Picture 3"/>
            <wp:cNvGraphicFramePr>
              <a:graphicFrameLocks noChangeAspect="1"/>
            </wp:cNvGraphicFramePr>
            <a:graphic>
              <a:graphicData uri="http://schemas.openxmlformats.org/drawingml/2006/picture">
                <pic:pic>
                  <pic:nvPicPr>
                    <pic:cNvPr id="0" name="fig_clash_relief.png"/>
                    <pic:cNvPicPr/>
                  </pic:nvPicPr>
                  <pic:blipFill>
                    <a:blip r:embed="rId11"/>
                    <a:stretch>
                      <a:fillRect/>
                    </a:stretch>
                  </pic:blipFill>
                  <pic:spPr>
                    <a:xfrm>
                      <a:off x="0" y="0"/>
                      <a:ext cx="5303520" cy="2563368"/>
                    </a:xfrm>
                    <a:prstGeom prst="rect"/>
                  </pic:spPr>
                </pic:pic>
              </a:graphicData>
            </a:graphic>
          </wp:inline>
        </w:drawing>
      </w:r>
    </w:p>
    <w:p>
      <w:pPr>
        <w:spacing w:after="240"/>
        <w:jc w:val="center"/>
      </w:pPr>
      <w:r>
        <w:rPr>
          <w:i/>
          <w:color w:val="6C757D"/>
          <w:sz w:val="19"/>
        </w:rPr>
        <w:t>Figure 3: High-resolution visual demonstration of clash relief achieved by FreeSolvE. (Left) Initial generative pose embedded deep inside pocket sidechain van der Waals boundaries (highlighted red clash zones). (Right) Refined pose following 2.3 seconds of solvent-mediated relaxation: dihedral angles articulate to relieve pocket wall friction while maintaining complete pocket residency (0.85 Å mean displacement).</w:t>
      </w:r>
    </w:p>
    <w:p>
      <w:r>
        <w:rPr>
          <w:b/>
        </w:rPr>
        <w:t>Table 1: Representative Target-by-Target Performance on the Official PoseBusters 50-Complex Benchmark (Standard CPU)</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A9396"/>
            <w:tcMar>
              <w:top w:w="70" w:type="dxa"/>
              <w:bottom w:w="70" w:type="dxa"/>
              <w:left w:w="80" w:type="dxa"/>
              <w:right w:w="80" w:type="dxa"/>
            </w:tcMar>
          </w:tcPr>
          <w:p>
            <w:pPr>
              <w:jc w:val="center"/>
            </w:pPr>
            <w:r>
              <w:rPr>
                <w:b/>
                <w:color w:val="FFFFFF"/>
                <w:sz w:val="18"/>
              </w:rPr>
              <w:t>Target ID</w:t>
            </w:r>
          </w:p>
        </w:tc>
        <w:tc>
          <w:tcPr>
            <w:tcW w:type="dxa" w:w="1337"/>
            <w:shd w:val="clear" w:color="auto" w:fill="0A9396"/>
            <w:tcMar>
              <w:top w:w="70" w:type="dxa"/>
              <w:bottom w:w="70" w:type="dxa"/>
              <w:left w:w="80" w:type="dxa"/>
              <w:right w:w="80" w:type="dxa"/>
            </w:tcMar>
          </w:tcPr>
          <w:p>
            <w:pPr>
              <w:jc w:val="center"/>
            </w:pPr>
            <w:r>
              <w:rPr>
                <w:b/>
                <w:color w:val="FFFFFF"/>
                <w:sz w:val="18"/>
              </w:rPr>
              <w:t>Atoms</w:t>
            </w:r>
          </w:p>
        </w:tc>
        <w:tc>
          <w:tcPr>
            <w:tcW w:type="dxa" w:w="1337"/>
            <w:shd w:val="clear" w:color="auto" w:fill="0A9396"/>
            <w:tcMar>
              <w:top w:w="70" w:type="dxa"/>
              <w:bottom w:w="70" w:type="dxa"/>
              <w:left w:w="80" w:type="dxa"/>
              <w:right w:w="80" w:type="dxa"/>
            </w:tcMar>
          </w:tcPr>
          <w:p>
            <w:pPr>
              <w:jc w:val="center"/>
            </w:pPr>
            <w:r>
              <w:rPr>
                <w:b/>
                <w:color w:val="FFFFFF"/>
                <w:sz w:val="18"/>
              </w:rPr>
              <w:t>Initial Clash</w:t>
            </w:r>
          </w:p>
        </w:tc>
        <w:tc>
          <w:tcPr>
            <w:tcW w:type="dxa" w:w="1337"/>
            <w:shd w:val="clear" w:color="auto" w:fill="0A9396"/>
            <w:tcMar>
              <w:top w:w="70" w:type="dxa"/>
              <w:bottom w:w="70" w:type="dxa"/>
              <w:left w:w="80" w:type="dxa"/>
              <w:right w:w="80" w:type="dxa"/>
            </w:tcMar>
          </w:tcPr>
          <w:p>
            <w:pPr>
              <w:jc w:val="center"/>
            </w:pPr>
            <w:r>
              <w:rPr>
                <w:b/>
                <w:color w:val="FFFFFF"/>
                <w:sz w:val="18"/>
              </w:rPr>
              <w:t>FreeSolvE Clash</w:t>
            </w:r>
          </w:p>
        </w:tc>
        <w:tc>
          <w:tcPr>
            <w:tcW w:type="dxa" w:w="1337"/>
            <w:shd w:val="clear" w:color="auto" w:fill="0A9396"/>
            <w:tcMar>
              <w:top w:w="70" w:type="dxa"/>
              <w:bottom w:w="70" w:type="dxa"/>
              <w:left w:w="80" w:type="dxa"/>
              <w:right w:w="80" w:type="dxa"/>
            </w:tcMar>
          </w:tcPr>
          <w:p>
            <w:pPr>
              <w:jc w:val="center"/>
            </w:pPr>
            <w:r>
              <w:rPr>
                <w:b/>
                <w:color w:val="FFFFFF"/>
                <w:sz w:val="18"/>
              </w:rPr>
              <w:t>PoseBusters</w:t>
            </w:r>
          </w:p>
        </w:tc>
        <w:tc>
          <w:tcPr>
            <w:tcW w:type="dxa" w:w="1337"/>
            <w:shd w:val="clear" w:color="auto" w:fill="0A9396"/>
            <w:tcMar>
              <w:top w:w="70" w:type="dxa"/>
              <w:bottom w:w="70" w:type="dxa"/>
              <w:left w:w="80" w:type="dxa"/>
              <w:right w:w="80" w:type="dxa"/>
            </w:tcMar>
          </w:tcPr>
          <w:p>
            <w:pPr>
              <w:jc w:val="center"/>
            </w:pPr>
            <w:r>
              <w:rPr>
                <w:b/>
                <w:color w:val="FFFFFF"/>
                <w:sz w:val="18"/>
              </w:rPr>
              <w:t>Pocket Dist</w:t>
            </w:r>
          </w:p>
        </w:tc>
        <w:tc>
          <w:tcPr>
            <w:tcW w:type="dxa" w:w="1337"/>
            <w:shd w:val="clear" w:color="auto" w:fill="0A9396"/>
            <w:tcMar>
              <w:top w:w="70" w:type="dxa"/>
              <w:bottom w:w="70" w:type="dxa"/>
              <w:left w:w="80" w:type="dxa"/>
              <w:right w:w="80" w:type="dxa"/>
            </w:tcMar>
          </w:tcPr>
          <w:p>
            <w:pPr>
              <w:jc w:val="center"/>
            </w:pPr>
            <w:r>
              <w:rPr>
                <w:b/>
                <w:color w:val="FFFFFF"/>
                <w:sz w:val="18"/>
              </w:rPr>
              <w:t>Runtime (CPU)</w:t>
            </w:r>
          </w:p>
        </w:tc>
      </w:tr>
      <w:tr>
        <w:tc>
          <w:tcPr>
            <w:tcW w:type="dxa" w:w="1337"/>
            <w:shd w:val="clear" w:color="auto" w:fill="F4F6F6"/>
            <w:tcMar>
              <w:top w:w="50" w:type="dxa"/>
              <w:bottom w:w="50" w:type="dxa"/>
              <w:left w:w="70" w:type="dxa"/>
              <w:right w:w="70" w:type="dxa"/>
            </w:tcMar>
          </w:tcPr>
          <w:p>
            <w:pPr>
              <w:jc w:val="center"/>
            </w:pPr>
            <w:r>
              <w:rPr>
                <w:sz w:val="17"/>
              </w:rPr>
              <w:t>5SAK_ZRY</w:t>
            </w:r>
          </w:p>
        </w:tc>
        <w:tc>
          <w:tcPr>
            <w:tcW w:type="dxa" w:w="1337"/>
            <w:shd w:val="clear" w:color="auto" w:fill="F4F6F6"/>
            <w:tcMar>
              <w:top w:w="50" w:type="dxa"/>
              <w:bottom w:w="50" w:type="dxa"/>
              <w:left w:w="70" w:type="dxa"/>
              <w:right w:w="70" w:type="dxa"/>
            </w:tcMar>
          </w:tcPr>
          <w:p>
            <w:pPr>
              <w:jc w:val="center"/>
            </w:pPr>
            <w:r>
              <w:rPr>
                <w:sz w:val="17"/>
              </w:rPr>
              <w:t>18</w:t>
            </w:r>
          </w:p>
        </w:tc>
        <w:tc>
          <w:tcPr>
            <w:tcW w:type="dxa" w:w="1337"/>
            <w:shd w:val="clear" w:color="auto" w:fill="F4F6F6"/>
            <w:tcMar>
              <w:top w:w="50" w:type="dxa"/>
              <w:bottom w:w="50" w:type="dxa"/>
              <w:left w:w="70" w:type="dxa"/>
              <w:right w:w="70" w:type="dxa"/>
            </w:tcMar>
          </w:tcPr>
          <w:p>
            <w:pPr>
              <w:jc w:val="center"/>
            </w:pPr>
            <w:r>
              <w:rPr>
                <w:sz w:val="17"/>
              </w:rPr>
              <w:t>FAIL</w:t>
            </w:r>
          </w:p>
        </w:tc>
        <w:tc>
          <w:tcPr>
            <w:tcW w:type="dxa" w:w="1337"/>
            <w:shd w:val="clear" w:color="auto" w:fill="F4F6F6"/>
            <w:tcMar>
              <w:top w:w="50" w:type="dxa"/>
              <w:bottom w:w="50" w:type="dxa"/>
              <w:left w:w="70" w:type="dxa"/>
              <w:right w:w="70" w:type="dxa"/>
            </w:tcMar>
          </w:tcPr>
          <w:p>
            <w:pPr>
              <w:jc w:val="center"/>
            </w:pPr>
            <w:r>
              <w:rPr>
                <w:b/>
                <w:color w:val="2A9D8F"/>
                <w:sz w:val="17"/>
              </w:rPr>
              <w:t>PASS</w:t>
            </w:r>
          </w:p>
        </w:tc>
        <w:tc>
          <w:tcPr>
            <w:tcW w:type="dxa" w:w="1337"/>
            <w:shd w:val="clear" w:color="auto" w:fill="F4F6F6"/>
            <w:tcMar>
              <w:top w:w="50" w:type="dxa"/>
              <w:bottom w:w="50" w:type="dxa"/>
              <w:left w:w="70" w:type="dxa"/>
              <w:right w:w="70" w:type="dxa"/>
            </w:tcMar>
          </w:tcPr>
          <w:p>
            <w:pPr>
              <w:jc w:val="center"/>
            </w:pPr>
            <w:r>
              <w:rPr>
                <w:b/>
                <w:color w:val="005F73"/>
                <w:sz w:val="17"/>
              </w:rPr>
              <w:t>VALID</w:t>
            </w:r>
          </w:p>
        </w:tc>
        <w:tc>
          <w:tcPr>
            <w:tcW w:type="dxa" w:w="1337"/>
            <w:shd w:val="clear" w:color="auto" w:fill="F4F6F6"/>
            <w:tcMar>
              <w:top w:w="50" w:type="dxa"/>
              <w:bottom w:w="50" w:type="dxa"/>
              <w:left w:w="70" w:type="dxa"/>
              <w:right w:w="70" w:type="dxa"/>
            </w:tcMar>
          </w:tcPr>
          <w:p>
            <w:pPr>
              <w:jc w:val="center"/>
            </w:pPr>
            <w:r>
              <w:rPr>
                <w:sz w:val="17"/>
              </w:rPr>
              <w:t>1.04 Å</w:t>
            </w:r>
          </w:p>
        </w:tc>
        <w:tc>
          <w:tcPr>
            <w:tcW w:type="dxa" w:w="1337"/>
            <w:shd w:val="clear" w:color="auto" w:fill="F4F6F6"/>
            <w:tcMar>
              <w:top w:w="50" w:type="dxa"/>
              <w:bottom w:w="50" w:type="dxa"/>
              <w:left w:w="70" w:type="dxa"/>
              <w:right w:w="70" w:type="dxa"/>
            </w:tcMar>
          </w:tcPr>
          <w:p>
            <w:pPr>
              <w:jc w:val="center"/>
            </w:pPr>
            <w:r>
              <w:rPr>
                <w:sz w:val="17"/>
              </w:rPr>
              <w:t>2.61s</w:t>
            </w:r>
          </w:p>
        </w:tc>
      </w:tr>
      <w:tr>
        <w:tc>
          <w:tcPr>
            <w:tcW w:type="dxa" w:w="1337"/>
            <w:shd w:val="clear" w:color="auto" w:fill="FFFFFF"/>
            <w:tcMar>
              <w:top w:w="50" w:type="dxa"/>
              <w:bottom w:w="50" w:type="dxa"/>
              <w:left w:w="70" w:type="dxa"/>
              <w:right w:w="70" w:type="dxa"/>
            </w:tcMar>
          </w:tcPr>
          <w:p>
            <w:pPr>
              <w:jc w:val="center"/>
            </w:pPr>
            <w:r>
              <w:rPr>
                <w:sz w:val="17"/>
              </w:rPr>
              <w:t>5SB2_1K2</w:t>
            </w:r>
          </w:p>
        </w:tc>
        <w:tc>
          <w:tcPr>
            <w:tcW w:type="dxa" w:w="1337"/>
            <w:shd w:val="clear" w:color="auto" w:fill="FFFFFF"/>
            <w:tcMar>
              <w:top w:w="50" w:type="dxa"/>
              <w:bottom w:w="50" w:type="dxa"/>
              <w:left w:w="70" w:type="dxa"/>
              <w:right w:w="70" w:type="dxa"/>
            </w:tcMar>
          </w:tcPr>
          <w:p>
            <w:pPr>
              <w:jc w:val="center"/>
            </w:pPr>
            <w:r>
              <w:rPr>
                <w:sz w:val="17"/>
              </w:rPr>
              <w:t>30</w:t>
            </w:r>
          </w:p>
        </w:tc>
        <w:tc>
          <w:tcPr>
            <w:tcW w:type="dxa" w:w="1337"/>
            <w:shd w:val="clear" w:color="auto" w:fill="FFFFFF"/>
            <w:tcMar>
              <w:top w:w="50" w:type="dxa"/>
              <w:bottom w:w="50" w:type="dxa"/>
              <w:left w:w="70" w:type="dxa"/>
              <w:right w:w="70" w:type="dxa"/>
            </w:tcMar>
          </w:tcPr>
          <w:p>
            <w:pPr>
              <w:jc w:val="center"/>
            </w:pPr>
            <w:r>
              <w:rPr>
                <w:sz w:val="17"/>
              </w:rPr>
              <w:t>FAIL</w:t>
            </w:r>
          </w:p>
        </w:tc>
        <w:tc>
          <w:tcPr>
            <w:tcW w:type="dxa" w:w="1337"/>
            <w:shd w:val="clear" w:color="auto" w:fill="FFFFFF"/>
            <w:tcMar>
              <w:top w:w="50" w:type="dxa"/>
              <w:bottom w:w="50" w:type="dxa"/>
              <w:left w:w="70" w:type="dxa"/>
              <w:right w:w="70" w:type="dxa"/>
            </w:tcMar>
          </w:tcPr>
          <w:p>
            <w:pPr>
              <w:jc w:val="center"/>
            </w:pPr>
            <w:r>
              <w:rPr>
                <w:b/>
                <w:color w:val="2A9D8F"/>
                <w:sz w:val="17"/>
              </w:rPr>
              <w:t>PASS</w:t>
            </w:r>
          </w:p>
        </w:tc>
        <w:tc>
          <w:tcPr>
            <w:tcW w:type="dxa" w:w="1337"/>
            <w:shd w:val="clear" w:color="auto" w:fill="FFFFFF"/>
            <w:tcMar>
              <w:top w:w="50" w:type="dxa"/>
              <w:bottom w:w="50" w:type="dxa"/>
              <w:left w:w="70" w:type="dxa"/>
              <w:right w:w="70" w:type="dxa"/>
            </w:tcMar>
          </w:tcPr>
          <w:p>
            <w:pPr>
              <w:jc w:val="center"/>
            </w:pPr>
            <w:r>
              <w:rPr>
                <w:b/>
                <w:color w:val="005F73"/>
                <w:sz w:val="17"/>
              </w:rPr>
              <w:t>VALID</w:t>
            </w:r>
          </w:p>
        </w:tc>
        <w:tc>
          <w:tcPr>
            <w:tcW w:type="dxa" w:w="1337"/>
            <w:shd w:val="clear" w:color="auto" w:fill="FFFFFF"/>
            <w:tcMar>
              <w:top w:w="50" w:type="dxa"/>
              <w:bottom w:w="50" w:type="dxa"/>
              <w:left w:w="70" w:type="dxa"/>
              <w:right w:w="70" w:type="dxa"/>
            </w:tcMar>
          </w:tcPr>
          <w:p>
            <w:pPr>
              <w:jc w:val="center"/>
            </w:pPr>
            <w:r>
              <w:rPr>
                <w:sz w:val="17"/>
              </w:rPr>
              <w:t>0.62 Å</w:t>
            </w:r>
          </w:p>
        </w:tc>
        <w:tc>
          <w:tcPr>
            <w:tcW w:type="dxa" w:w="1337"/>
            <w:shd w:val="clear" w:color="auto" w:fill="FFFFFF"/>
            <w:tcMar>
              <w:top w:w="50" w:type="dxa"/>
              <w:bottom w:w="50" w:type="dxa"/>
              <w:left w:w="70" w:type="dxa"/>
              <w:right w:w="70" w:type="dxa"/>
            </w:tcMar>
          </w:tcPr>
          <w:p>
            <w:pPr>
              <w:jc w:val="center"/>
            </w:pPr>
            <w:r>
              <w:rPr>
                <w:sz w:val="17"/>
              </w:rPr>
              <w:t>2.91s</w:t>
            </w:r>
          </w:p>
        </w:tc>
      </w:tr>
      <w:tr>
        <w:tc>
          <w:tcPr>
            <w:tcW w:type="dxa" w:w="1337"/>
            <w:shd w:val="clear" w:color="auto" w:fill="F4F6F6"/>
            <w:tcMar>
              <w:top w:w="50" w:type="dxa"/>
              <w:bottom w:w="50" w:type="dxa"/>
              <w:left w:w="70" w:type="dxa"/>
              <w:right w:w="70" w:type="dxa"/>
            </w:tcMar>
          </w:tcPr>
          <w:p>
            <w:pPr>
              <w:jc w:val="center"/>
            </w:pPr>
            <w:r>
              <w:rPr>
                <w:sz w:val="17"/>
              </w:rPr>
              <w:t>6TW7_NZB</w:t>
            </w:r>
          </w:p>
        </w:tc>
        <w:tc>
          <w:tcPr>
            <w:tcW w:type="dxa" w:w="1337"/>
            <w:shd w:val="clear" w:color="auto" w:fill="F4F6F6"/>
            <w:tcMar>
              <w:top w:w="50" w:type="dxa"/>
              <w:bottom w:w="50" w:type="dxa"/>
              <w:left w:w="70" w:type="dxa"/>
              <w:right w:w="70" w:type="dxa"/>
            </w:tcMar>
          </w:tcPr>
          <w:p>
            <w:pPr>
              <w:jc w:val="center"/>
            </w:pPr>
            <w:r>
              <w:rPr>
                <w:sz w:val="17"/>
              </w:rPr>
              <w:t>29</w:t>
            </w:r>
          </w:p>
        </w:tc>
        <w:tc>
          <w:tcPr>
            <w:tcW w:type="dxa" w:w="1337"/>
            <w:shd w:val="clear" w:color="auto" w:fill="F4F6F6"/>
            <w:tcMar>
              <w:top w:w="50" w:type="dxa"/>
              <w:bottom w:w="50" w:type="dxa"/>
              <w:left w:w="70" w:type="dxa"/>
              <w:right w:w="70" w:type="dxa"/>
            </w:tcMar>
          </w:tcPr>
          <w:p>
            <w:pPr>
              <w:jc w:val="center"/>
            </w:pPr>
            <w:r>
              <w:rPr>
                <w:sz w:val="17"/>
              </w:rPr>
              <w:t>FAIL</w:t>
            </w:r>
          </w:p>
        </w:tc>
        <w:tc>
          <w:tcPr>
            <w:tcW w:type="dxa" w:w="1337"/>
            <w:shd w:val="clear" w:color="auto" w:fill="F4F6F6"/>
            <w:tcMar>
              <w:top w:w="50" w:type="dxa"/>
              <w:bottom w:w="50" w:type="dxa"/>
              <w:left w:w="70" w:type="dxa"/>
              <w:right w:w="70" w:type="dxa"/>
            </w:tcMar>
          </w:tcPr>
          <w:p>
            <w:pPr>
              <w:jc w:val="center"/>
            </w:pPr>
            <w:r>
              <w:rPr>
                <w:b/>
                <w:color w:val="2A9D8F"/>
                <w:sz w:val="17"/>
              </w:rPr>
              <w:t>PASS</w:t>
            </w:r>
          </w:p>
        </w:tc>
        <w:tc>
          <w:tcPr>
            <w:tcW w:type="dxa" w:w="1337"/>
            <w:shd w:val="clear" w:color="auto" w:fill="F4F6F6"/>
            <w:tcMar>
              <w:top w:w="50" w:type="dxa"/>
              <w:bottom w:w="50" w:type="dxa"/>
              <w:left w:w="70" w:type="dxa"/>
              <w:right w:w="70" w:type="dxa"/>
            </w:tcMar>
          </w:tcPr>
          <w:p>
            <w:pPr>
              <w:jc w:val="center"/>
            </w:pPr>
            <w:r>
              <w:rPr>
                <w:b/>
                <w:color w:val="005F73"/>
                <w:sz w:val="17"/>
              </w:rPr>
              <w:t>VALID</w:t>
            </w:r>
          </w:p>
        </w:tc>
        <w:tc>
          <w:tcPr>
            <w:tcW w:type="dxa" w:w="1337"/>
            <w:shd w:val="clear" w:color="auto" w:fill="F4F6F6"/>
            <w:tcMar>
              <w:top w:w="50" w:type="dxa"/>
              <w:bottom w:w="50" w:type="dxa"/>
              <w:left w:w="70" w:type="dxa"/>
              <w:right w:w="70" w:type="dxa"/>
            </w:tcMar>
          </w:tcPr>
          <w:p>
            <w:pPr>
              <w:jc w:val="center"/>
            </w:pPr>
            <w:r>
              <w:rPr>
                <w:sz w:val="17"/>
              </w:rPr>
              <w:t>1.18 Å</w:t>
            </w:r>
          </w:p>
        </w:tc>
        <w:tc>
          <w:tcPr>
            <w:tcW w:type="dxa" w:w="1337"/>
            <w:shd w:val="clear" w:color="auto" w:fill="F4F6F6"/>
            <w:tcMar>
              <w:top w:w="50" w:type="dxa"/>
              <w:bottom w:w="50" w:type="dxa"/>
              <w:left w:w="70" w:type="dxa"/>
              <w:right w:w="70" w:type="dxa"/>
            </w:tcMar>
          </w:tcPr>
          <w:p>
            <w:pPr>
              <w:jc w:val="center"/>
            </w:pPr>
            <w:r>
              <w:rPr>
                <w:sz w:val="17"/>
              </w:rPr>
              <w:t>2.21s</w:t>
            </w:r>
          </w:p>
        </w:tc>
      </w:tr>
      <w:tr>
        <w:tc>
          <w:tcPr>
            <w:tcW w:type="dxa" w:w="1337"/>
            <w:shd w:val="clear" w:color="auto" w:fill="FFFFFF"/>
            <w:tcMar>
              <w:top w:w="50" w:type="dxa"/>
              <w:bottom w:w="50" w:type="dxa"/>
              <w:left w:w="70" w:type="dxa"/>
              <w:right w:w="70" w:type="dxa"/>
            </w:tcMar>
          </w:tcPr>
          <w:p>
            <w:pPr>
              <w:jc w:val="center"/>
            </w:pPr>
            <w:r>
              <w:rPr>
                <w:sz w:val="17"/>
              </w:rPr>
              <w:t>6VS3_R6V</w:t>
            </w:r>
          </w:p>
        </w:tc>
        <w:tc>
          <w:tcPr>
            <w:tcW w:type="dxa" w:w="1337"/>
            <w:shd w:val="clear" w:color="auto" w:fill="FFFFFF"/>
            <w:tcMar>
              <w:top w:w="50" w:type="dxa"/>
              <w:bottom w:w="50" w:type="dxa"/>
              <w:left w:w="70" w:type="dxa"/>
              <w:right w:w="70" w:type="dxa"/>
            </w:tcMar>
          </w:tcPr>
          <w:p>
            <w:pPr>
              <w:jc w:val="center"/>
            </w:pPr>
            <w:r>
              <w:rPr>
                <w:sz w:val="17"/>
              </w:rPr>
              <w:t>36</w:t>
            </w:r>
          </w:p>
        </w:tc>
        <w:tc>
          <w:tcPr>
            <w:tcW w:type="dxa" w:w="1337"/>
            <w:shd w:val="clear" w:color="auto" w:fill="FFFFFF"/>
            <w:tcMar>
              <w:top w:w="50" w:type="dxa"/>
              <w:bottom w:w="50" w:type="dxa"/>
              <w:left w:w="70" w:type="dxa"/>
              <w:right w:w="70" w:type="dxa"/>
            </w:tcMar>
          </w:tcPr>
          <w:p>
            <w:pPr>
              <w:jc w:val="center"/>
            </w:pPr>
            <w:r>
              <w:rPr>
                <w:sz w:val="17"/>
              </w:rPr>
              <w:t>FAIL</w:t>
            </w:r>
          </w:p>
        </w:tc>
        <w:tc>
          <w:tcPr>
            <w:tcW w:type="dxa" w:w="1337"/>
            <w:shd w:val="clear" w:color="auto" w:fill="FFFFFF"/>
            <w:tcMar>
              <w:top w:w="50" w:type="dxa"/>
              <w:bottom w:w="50" w:type="dxa"/>
              <w:left w:w="70" w:type="dxa"/>
              <w:right w:w="70" w:type="dxa"/>
            </w:tcMar>
          </w:tcPr>
          <w:p>
            <w:pPr>
              <w:jc w:val="center"/>
            </w:pPr>
            <w:r>
              <w:rPr>
                <w:b/>
                <w:color w:val="2A9D8F"/>
                <w:sz w:val="17"/>
              </w:rPr>
              <w:t>PASS</w:t>
            </w:r>
          </w:p>
        </w:tc>
        <w:tc>
          <w:tcPr>
            <w:tcW w:type="dxa" w:w="1337"/>
            <w:shd w:val="clear" w:color="auto" w:fill="FFFFFF"/>
            <w:tcMar>
              <w:top w:w="50" w:type="dxa"/>
              <w:bottom w:w="50" w:type="dxa"/>
              <w:left w:w="70" w:type="dxa"/>
              <w:right w:w="70" w:type="dxa"/>
            </w:tcMar>
          </w:tcPr>
          <w:p>
            <w:pPr>
              <w:jc w:val="center"/>
            </w:pPr>
            <w:r>
              <w:rPr>
                <w:b/>
                <w:color w:val="005F73"/>
                <w:sz w:val="17"/>
              </w:rPr>
              <w:t>VALID</w:t>
            </w:r>
          </w:p>
        </w:tc>
        <w:tc>
          <w:tcPr>
            <w:tcW w:type="dxa" w:w="1337"/>
            <w:shd w:val="clear" w:color="auto" w:fill="FFFFFF"/>
            <w:tcMar>
              <w:top w:w="50" w:type="dxa"/>
              <w:bottom w:w="50" w:type="dxa"/>
              <w:left w:w="70" w:type="dxa"/>
              <w:right w:w="70" w:type="dxa"/>
            </w:tcMar>
          </w:tcPr>
          <w:p>
            <w:pPr>
              <w:jc w:val="center"/>
            </w:pPr>
            <w:r>
              <w:rPr>
                <w:sz w:val="17"/>
              </w:rPr>
              <w:t>0.93 Å</w:t>
            </w:r>
          </w:p>
        </w:tc>
        <w:tc>
          <w:tcPr>
            <w:tcW w:type="dxa" w:w="1337"/>
            <w:shd w:val="clear" w:color="auto" w:fill="FFFFFF"/>
            <w:tcMar>
              <w:top w:w="50" w:type="dxa"/>
              <w:bottom w:w="50" w:type="dxa"/>
              <w:left w:w="70" w:type="dxa"/>
              <w:right w:w="70" w:type="dxa"/>
            </w:tcMar>
          </w:tcPr>
          <w:p>
            <w:pPr>
              <w:jc w:val="center"/>
            </w:pPr>
            <w:r>
              <w:rPr>
                <w:sz w:val="17"/>
              </w:rPr>
              <w:t>2.95s</w:t>
            </w:r>
          </w:p>
        </w:tc>
      </w:tr>
      <w:tr>
        <w:tc>
          <w:tcPr>
            <w:tcW w:type="dxa" w:w="1337"/>
            <w:shd w:val="clear" w:color="auto" w:fill="F4F6F6"/>
            <w:tcMar>
              <w:top w:w="50" w:type="dxa"/>
              <w:bottom w:w="50" w:type="dxa"/>
              <w:left w:w="70" w:type="dxa"/>
              <w:right w:w="70" w:type="dxa"/>
            </w:tcMar>
          </w:tcPr>
          <w:p>
            <w:pPr>
              <w:jc w:val="center"/>
            </w:pPr>
            <w:r>
              <w:rPr>
                <w:sz w:val="17"/>
              </w:rPr>
              <w:t>6WTN_RXT</w:t>
            </w:r>
          </w:p>
        </w:tc>
        <w:tc>
          <w:tcPr>
            <w:tcW w:type="dxa" w:w="1337"/>
            <w:shd w:val="clear" w:color="auto" w:fill="F4F6F6"/>
            <w:tcMar>
              <w:top w:w="50" w:type="dxa"/>
              <w:bottom w:w="50" w:type="dxa"/>
              <w:left w:w="70" w:type="dxa"/>
              <w:right w:w="70" w:type="dxa"/>
            </w:tcMar>
          </w:tcPr>
          <w:p>
            <w:pPr>
              <w:jc w:val="center"/>
            </w:pPr>
            <w:r>
              <w:rPr>
                <w:sz w:val="17"/>
              </w:rPr>
              <w:t>23</w:t>
            </w:r>
          </w:p>
        </w:tc>
        <w:tc>
          <w:tcPr>
            <w:tcW w:type="dxa" w:w="1337"/>
            <w:shd w:val="clear" w:color="auto" w:fill="F4F6F6"/>
            <w:tcMar>
              <w:top w:w="50" w:type="dxa"/>
              <w:bottom w:w="50" w:type="dxa"/>
              <w:left w:w="70" w:type="dxa"/>
              <w:right w:w="70" w:type="dxa"/>
            </w:tcMar>
          </w:tcPr>
          <w:p>
            <w:pPr>
              <w:jc w:val="center"/>
            </w:pPr>
            <w:r>
              <w:rPr>
                <w:sz w:val="17"/>
              </w:rPr>
              <w:t>FAIL</w:t>
            </w:r>
          </w:p>
        </w:tc>
        <w:tc>
          <w:tcPr>
            <w:tcW w:type="dxa" w:w="1337"/>
            <w:shd w:val="clear" w:color="auto" w:fill="F4F6F6"/>
            <w:tcMar>
              <w:top w:w="50" w:type="dxa"/>
              <w:bottom w:w="50" w:type="dxa"/>
              <w:left w:w="70" w:type="dxa"/>
              <w:right w:w="70" w:type="dxa"/>
            </w:tcMar>
          </w:tcPr>
          <w:p>
            <w:pPr>
              <w:jc w:val="center"/>
            </w:pPr>
            <w:r>
              <w:rPr>
                <w:b/>
                <w:color w:val="2A9D8F"/>
                <w:sz w:val="17"/>
              </w:rPr>
              <w:t>PASS</w:t>
            </w:r>
          </w:p>
        </w:tc>
        <w:tc>
          <w:tcPr>
            <w:tcW w:type="dxa" w:w="1337"/>
            <w:shd w:val="clear" w:color="auto" w:fill="F4F6F6"/>
            <w:tcMar>
              <w:top w:w="50" w:type="dxa"/>
              <w:bottom w:w="50" w:type="dxa"/>
              <w:left w:w="70" w:type="dxa"/>
              <w:right w:w="70" w:type="dxa"/>
            </w:tcMar>
          </w:tcPr>
          <w:p>
            <w:pPr>
              <w:jc w:val="center"/>
            </w:pPr>
            <w:r>
              <w:rPr>
                <w:b/>
                <w:color w:val="005F73"/>
                <w:sz w:val="17"/>
              </w:rPr>
              <w:t>VALID</w:t>
            </w:r>
          </w:p>
        </w:tc>
        <w:tc>
          <w:tcPr>
            <w:tcW w:type="dxa" w:w="1337"/>
            <w:shd w:val="clear" w:color="auto" w:fill="F4F6F6"/>
            <w:tcMar>
              <w:top w:w="50" w:type="dxa"/>
              <w:bottom w:w="50" w:type="dxa"/>
              <w:left w:w="70" w:type="dxa"/>
              <w:right w:w="70" w:type="dxa"/>
            </w:tcMar>
          </w:tcPr>
          <w:p>
            <w:pPr>
              <w:jc w:val="center"/>
            </w:pPr>
            <w:r>
              <w:rPr>
                <w:sz w:val="17"/>
              </w:rPr>
              <w:t>0.44 Å</w:t>
            </w:r>
          </w:p>
        </w:tc>
        <w:tc>
          <w:tcPr>
            <w:tcW w:type="dxa" w:w="1337"/>
            <w:shd w:val="clear" w:color="auto" w:fill="F4F6F6"/>
            <w:tcMar>
              <w:top w:w="50" w:type="dxa"/>
              <w:bottom w:w="50" w:type="dxa"/>
              <w:left w:w="70" w:type="dxa"/>
              <w:right w:w="70" w:type="dxa"/>
            </w:tcMar>
          </w:tcPr>
          <w:p>
            <w:pPr>
              <w:jc w:val="center"/>
            </w:pPr>
            <w:r>
              <w:rPr>
                <w:sz w:val="17"/>
              </w:rPr>
              <w:t>2.05s</w:t>
            </w:r>
          </w:p>
        </w:tc>
      </w:tr>
      <w:tr>
        <w:tc>
          <w:tcPr>
            <w:tcW w:type="dxa" w:w="1337"/>
            <w:shd w:val="clear" w:color="auto" w:fill="FFFFFF"/>
            <w:tcMar>
              <w:top w:w="50" w:type="dxa"/>
              <w:bottom w:w="50" w:type="dxa"/>
              <w:left w:w="70" w:type="dxa"/>
              <w:right w:w="70" w:type="dxa"/>
            </w:tcMar>
          </w:tcPr>
          <w:p>
            <w:pPr>
              <w:jc w:val="center"/>
            </w:pPr>
            <w:r>
              <w:rPr>
                <w:sz w:val="17"/>
              </w:rPr>
              <w:t>6XBO_5MC</w:t>
            </w:r>
          </w:p>
        </w:tc>
        <w:tc>
          <w:tcPr>
            <w:tcW w:type="dxa" w:w="1337"/>
            <w:shd w:val="clear" w:color="auto" w:fill="FFFFFF"/>
            <w:tcMar>
              <w:top w:w="50" w:type="dxa"/>
              <w:bottom w:w="50" w:type="dxa"/>
              <w:left w:w="70" w:type="dxa"/>
              <w:right w:w="70" w:type="dxa"/>
            </w:tcMar>
          </w:tcPr>
          <w:p>
            <w:pPr>
              <w:jc w:val="center"/>
            </w:pPr>
            <w:r>
              <w:rPr>
                <w:sz w:val="17"/>
              </w:rPr>
              <w:t>22</w:t>
            </w:r>
          </w:p>
        </w:tc>
        <w:tc>
          <w:tcPr>
            <w:tcW w:type="dxa" w:w="1337"/>
            <w:shd w:val="clear" w:color="auto" w:fill="FFFFFF"/>
            <w:tcMar>
              <w:top w:w="50" w:type="dxa"/>
              <w:bottom w:w="50" w:type="dxa"/>
              <w:left w:w="70" w:type="dxa"/>
              <w:right w:w="70" w:type="dxa"/>
            </w:tcMar>
          </w:tcPr>
          <w:p>
            <w:pPr>
              <w:jc w:val="center"/>
            </w:pPr>
            <w:r>
              <w:rPr>
                <w:sz w:val="17"/>
              </w:rPr>
              <w:t>FAIL</w:t>
            </w:r>
          </w:p>
        </w:tc>
        <w:tc>
          <w:tcPr>
            <w:tcW w:type="dxa" w:w="1337"/>
            <w:shd w:val="clear" w:color="auto" w:fill="FFFFFF"/>
            <w:tcMar>
              <w:top w:w="50" w:type="dxa"/>
              <w:bottom w:w="50" w:type="dxa"/>
              <w:left w:w="70" w:type="dxa"/>
              <w:right w:w="70" w:type="dxa"/>
            </w:tcMar>
          </w:tcPr>
          <w:p>
            <w:pPr>
              <w:jc w:val="center"/>
            </w:pPr>
            <w:r>
              <w:rPr>
                <w:b/>
                <w:color w:val="2A9D8F"/>
                <w:sz w:val="17"/>
              </w:rPr>
              <w:t>PASS</w:t>
            </w:r>
          </w:p>
        </w:tc>
        <w:tc>
          <w:tcPr>
            <w:tcW w:type="dxa" w:w="1337"/>
            <w:shd w:val="clear" w:color="auto" w:fill="FFFFFF"/>
            <w:tcMar>
              <w:top w:w="50" w:type="dxa"/>
              <w:bottom w:w="50" w:type="dxa"/>
              <w:left w:w="70" w:type="dxa"/>
              <w:right w:w="70" w:type="dxa"/>
            </w:tcMar>
          </w:tcPr>
          <w:p>
            <w:pPr>
              <w:jc w:val="center"/>
            </w:pPr>
            <w:r>
              <w:rPr>
                <w:b/>
                <w:color w:val="005F73"/>
                <w:sz w:val="17"/>
              </w:rPr>
              <w:t>VALID</w:t>
            </w:r>
          </w:p>
        </w:tc>
        <w:tc>
          <w:tcPr>
            <w:tcW w:type="dxa" w:w="1337"/>
            <w:shd w:val="clear" w:color="auto" w:fill="FFFFFF"/>
            <w:tcMar>
              <w:top w:w="50" w:type="dxa"/>
              <w:bottom w:w="50" w:type="dxa"/>
              <w:left w:w="70" w:type="dxa"/>
              <w:right w:w="70" w:type="dxa"/>
            </w:tcMar>
          </w:tcPr>
          <w:p>
            <w:pPr>
              <w:jc w:val="center"/>
            </w:pPr>
            <w:r>
              <w:rPr>
                <w:sz w:val="17"/>
              </w:rPr>
              <w:t>0.30 Å</w:t>
            </w:r>
          </w:p>
        </w:tc>
        <w:tc>
          <w:tcPr>
            <w:tcW w:type="dxa" w:w="1337"/>
            <w:shd w:val="clear" w:color="auto" w:fill="FFFFFF"/>
            <w:tcMar>
              <w:top w:w="50" w:type="dxa"/>
              <w:bottom w:w="50" w:type="dxa"/>
              <w:left w:w="70" w:type="dxa"/>
              <w:right w:w="70" w:type="dxa"/>
            </w:tcMar>
          </w:tcPr>
          <w:p>
            <w:pPr>
              <w:jc w:val="center"/>
            </w:pPr>
            <w:r>
              <w:rPr>
                <w:sz w:val="17"/>
              </w:rPr>
              <w:t>2.19s</w:t>
            </w:r>
          </w:p>
        </w:tc>
      </w:tr>
      <w:tr>
        <w:tc>
          <w:tcPr>
            <w:tcW w:type="dxa" w:w="1337"/>
            <w:shd w:val="clear" w:color="auto" w:fill="F4F6F6"/>
            <w:tcMar>
              <w:top w:w="50" w:type="dxa"/>
              <w:bottom w:w="50" w:type="dxa"/>
              <w:left w:w="70" w:type="dxa"/>
              <w:right w:w="70" w:type="dxa"/>
            </w:tcMar>
          </w:tcPr>
          <w:p>
            <w:pPr>
              <w:jc w:val="center"/>
            </w:pPr>
            <w:r>
              <w:rPr>
                <w:sz w:val="17"/>
              </w:rPr>
              <w:t>6XCT_478</w:t>
            </w:r>
          </w:p>
        </w:tc>
        <w:tc>
          <w:tcPr>
            <w:tcW w:type="dxa" w:w="1337"/>
            <w:shd w:val="clear" w:color="auto" w:fill="F4F6F6"/>
            <w:tcMar>
              <w:top w:w="50" w:type="dxa"/>
              <w:bottom w:w="50" w:type="dxa"/>
              <w:left w:w="70" w:type="dxa"/>
              <w:right w:w="70" w:type="dxa"/>
            </w:tcMar>
          </w:tcPr>
          <w:p>
            <w:pPr>
              <w:jc w:val="center"/>
            </w:pPr>
            <w:r>
              <w:rPr>
                <w:sz w:val="17"/>
              </w:rPr>
              <w:t>35</w:t>
            </w:r>
          </w:p>
        </w:tc>
        <w:tc>
          <w:tcPr>
            <w:tcW w:type="dxa" w:w="1337"/>
            <w:shd w:val="clear" w:color="auto" w:fill="F4F6F6"/>
            <w:tcMar>
              <w:top w:w="50" w:type="dxa"/>
              <w:bottom w:w="50" w:type="dxa"/>
              <w:left w:w="70" w:type="dxa"/>
              <w:right w:w="70" w:type="dxa"/>
            </w:tcMar>
          </w:tcPr>
          <w:p>
            <w:pPr>
              <w:jc w:val="center"/>
            </w:pPr>
            <w:r>
              <w:rPr>
                <w:sz w:val="17"/>
              </w:rPr>
              <w:t>FAIL</w:t>
            </w:r>
          </w:p>
        </w:tc>
        <w:tc>
          <w:tcPr>
            <w:tcW w:type="dxa" w:w="1337"/>
            <w:shd w:val="clear" w:color="auto" w:fill="F4F6F6"/>
            <w:tcMar>
              <w:top w:w="50" w:type="dxa"/>
              <w:bottom w:w="50" w:type="dxa"/>
              <w:left w:w="70" w:type="dxa"/>
              <w:right w:w="70" w:type="dxa"/>
            </w:tcMar>
          </w:tcPr>
          <w:p>
            <w:pPr>
              <w:jc w:val="center"/>
            </w:pPr>
            <w:r>
              <w:rPr>
                <w:b/>
                <w:color w:val="2A9D8F"/>
                <w:sz w:val="17"/>
              </w:rPr>
              <w:t>PASS</w:t>
            </w:r>
          </w:p>
        </w:tc>
        <w:tc>
          <w:tcPr>
            <w:tcW w:type="dxa" w:w="1337"/>
            <w:shd w:val="clear" w:color="auto" w:fill="F4F6F6"/>
            <w:tcMar>
              <w:top w:w="50" w:type="dxa"/>
              <w:bottom w:w="50" w:type="dxa"/>
              <w:left w:w="70" w:type="dxa"/>
              <w:right w:w="70" w:type="dxa"/>
            </w:tcMar>
          </w:tcPr>
          <w:p>
            <w:pPr>
              <w:jc w:val="center"/>
            </w:pPr>
            <w:r>
              <w:rPr>
                <w:b/>
                <w:color w:val="005F73"/>
                <w:sz w:val="17"/>
              </w:rPr>
              <w:t>VALID</w:t>
            </w:r>
          </w:p>
        </w:tc>
        <w:tc>
          <w:tcPr>
            <w:tcW w:type="dxa" w:w="1337"/>
            <w:shd w:val="clear" w:color="auto" w:fill="F4F6F6"/>
            <w:tcMar>
              <w:top w:w="50" w:type="dxa"/>
              <w:bottom w:w="50" w:type="dxa"/>
              <w:left w:w="70" w:type="dxa"/>
              <w:right w:w="70" w:type="dxa"/>
            </w:tcMar>
          </w:tcPr>
          <w:p>
            <w:pPr>
              <w:jc w:val="center"/>
            </w:pPr>
            <w:r>
              <w:rPr>
                <w:sz w:val="17"/>
              </w:rPr>
              <w:t>0.93 Å</w:t>
            </w:r>
          </w:p>
        </w:tc>
        <w:tc>
          <w:tcPr>
            <w:tcW w:type="dxa" w:w="1337"/>
            <w:shd w:val="clear" w:color="auto" w:fill="F4F6F6"/>
            <w:tcMar>
              <w:top w:w="50" w:type="dxa"/>
              <w:bottom w:w="50" w:type="dxa"/>
              <w:left w:w="70" w:type="dxa"/>
              <w:right w:w="70" w:type="dxa"/>
            </w:tcMar>
          </w:tcPr>
          <w:p>
            <w:pPr>
              <w:jc w:val="center"/>
            </w:pPr>
            <w:r>
              <w:rPr>
                <w:sz w:val="17"/>
              </w:rPr>
              <w:t>4.36s</w:t>
            </w:r>
          </w:p>
        </w:tc>
      </w:tr>
      <w:tr>
        <w:tc>
          <w:tcPr>
            <w:tcW w:type="dxa" w:w="1337"/>
            <w:shd w:val="clear" w:color="auto" w:fill="FFFFFF"/>
            <w:tcMar>
              <w:top w:w="50" w:type="dxa"/>
              <w:bottom w:w="50" w:type="dxa"/>
              <w:left w:w="70" w:type="dxa"/>
              <w:right w:w="70" w:type="dxa"/>
            </w:tcMar>
          </w:tcPr>
          <w:p>
            <w:pPr>
              <w:jc w:val="center"/>
            </w:pPr>
            <w:r>
              <w:rPr>
                <w:sz w:val="17"/>
              </w:rPr>
              <w:t>6Y7L_QMG</w:t>
            </w:r>
          </w:p>
        </w:tc>
        <w:tc>
          <w:tcPr>
            <w:tcW w:type="dxa" w:w="1337"/>
            <w:shd w:val="clear" w:color="auto" w:fill="FFFFFF"/>
            <w:tcMar>
              <w:top w:w="50" w:type="dxa"/>
              <w:bottom w:w="50" w:type="dxa"/>
              <w:left w:w="70" w:type="dxa"/>
              <w:right w:w="70" w:type="dxa"/>
            </w:tcMar>
          </w:tcPr>
          <w:p>
            <w:pPr>
              <w:jc w:val="center"/>
            </w:pPr>
            <w:r>
              <w:rPr>
                <w:sz w:val="17"/>
              </w:rPr>
              <w:t>25</w:t>
            </w:r>
          </w:p>
        </w:tc>
        <w:tc>
          <w:tcPr>
            <w:tcW w:type="dxa" w:w="1337"/>
            <w:shd w:val="clear" w:color="auto" w:fill="FFFFFF"/>
            <w:tcMar>
              <w:top w:w="50" w:type="dxa"/>
              <w:bottom w:w="50" w:type="dxa"/>
              <w:left w:w="70" w:type="dxa"/>
              <w:right w:w="70" w:type="dxa"/>
            </w:tcMar>
          </w:tcPr>
          <w:p>
            <w:pPr>
              <w:jc w:val="center"/>
            </w:pPr>
            <w:r>
              <w:rPr>
                <w:sz w:val="17"/>
              </w:rPr>
              <w:t>FAIL</w:t>
            </w:r>
          </w:p>
        </w:tc>
        <w:tc>
          <w:tcPr>
            <w:tcW w:type="dxa" w:w="1337"/>
            <w:shd w:val="clear" w:color="auto" w:fill="FFFFFF"/>
            <w:tcMar>
              <w:top w:w="50" w:type="dxa"/>
              <w:bottom w:w="50" w:type="dxa"/>
              <w:left w:w="70" w:type="dxa"/>
              <w:right w:w="70" w:type="dxa"/>
            </w:tcMar>
          </w:tcPr>
          <w:p>
            <w:pPr>
              <w:jc w:val="center"/>
            </w:pPr>
            <w:r>
              <w:rPr>
                <w:b/>
                <w:color w:val="2A9D8F"/>
                <w:sz w:val="17"/>
              </w:rPr>
              <w:t>PASS</w:t>
            </w:r>
          </w:p>
        </w:tc>
        <w:tc>
          <w:tcPr>
            <w:tcW w:type="dxa" w:w="1337"/>
            <w:shd w:val="clear" w:color="auto" w:fill="FFFFFF"/>
            <w:tcMar>
              <w:top w:w="50" w:type="dxa"/>
              <w:bottom w:w="50" w:type="dxa"/>
              <w:left w:w="70" w:type="dxa"/>
              <w:right w:w="70" w:type="dxa"/>
            </w:tcMar>
          </w:tcPr>
          <w:p>
            <w:pPr>
              <w:jc w:val="center"/>
            </w:pPr>
            <w:r>
              <w:rPr>
                <w:b/>
                <w:color w:val="005F73"/>
                <w:sz w:val="17"/>
              </w:rPr>
              <w:t>VALID</w:t>
            </w:r>
          </w:p>
        </w:tc>
        <w:tc>
          <w:tcPr>
            <w:tcW w:type="dxa" w:w="1337"/>
            <w:shd w:val="clear" w:color="auto" w:fill="FFFFFF"/>
            <w:tcMar>
              <w:top w:w="50" w:type="dxa"/>
              <w:bottom w:w="50" w:type="dxa"/>
              <w:left w:w="70" w:type="dxa"/>
              <w:right w:w="70" w:type="dxa"/>
            </w:tcMar>
          </w:tcPr>
          <w:p>
            <w:pPr>
              <w:jc w:val="center"/>
            </w:pPr>
            <w:r>
              <w:rPr>
                <w:sz w:val="17"/>
              </w:rPr>
              <w:t>0.56 Å</w:t>
            </w:r>
          </w:p>
        </w:tc>
        <w:tc>
          <w:tcPr>
            <w:tcW w:type="dxa" w:w="1337"/>
            <w:shd w:val="clear" w:color="auto" w:fill="FFFFFF"/>
            <w:tcMar>
              <w:top w:w="50" w:type="dxa"/>
              <w:bottom w:w="50" w:type="dxa"/>
              <w:left w:w="70" w:type="dxa"/>
              <w:right w:w="70" w:type="dxa"/>
            </w:tcMar>
          </w:tcPr>
          <w:p>
            <w:pPr>
              <w:jc w:val="center"/>
            </w:pPr>
            <w:r>
              <w:rPr>
                <w:sz w:val="17"/>
              </w:rPr>
              <w:t>0.75s</w:t>
            </w:r>
          </w:p>
        </w:tc>
      </w:tr>
      <w:tr>
        <w:tc>
          <w:tcPr>
            <w:tcW w:type="dxa" w:w="1337"/>
            <w:shd w:val="clear" w:color="auto" w:fill="F4F6F6"/>
            <w:tcMar>
              <w:top w:w="50" w:type="dxa"/>
              <w:bottom w:w="50" w:type="dxa"/>
              <w:left w:w="70" w:type="dxa"/>
              <w:right w:w="70" w:type="dxa"/>
            </w:tcMar>
          </w:tcPr>
          <w:p>
            <w:pPr>
              <w:jc w:val="center"/>
            </w:pPr>
            <w:r>
              <w:rPr>
                <w:sz w:val="17"/>
              </w:rPr>
              <w:t>6Z14_Q4Z</w:t>
            </w:r>
          </w:p>
        </w:tc>
        <w:tc>
          <w:tcPr>
            <w:tcW w:type="dxa" w:w="1337"/>
            <w:shd w:val="clear" w:color="auto" w:fill="F4F6F6"/>
            <w:tcMar>
              <w:top w:w="50" w:type="dxa"/>
              <w:bottom w:w="50" w:type="dxa"/>
              <w:left w:w="70" w:type="dxa"/>
              <w:right w:w="70" w:type="dxa"/>
            </w:tcMar>
          </w:tcPr>
          <w:p>
            <w:pPr>
              <w:jc w:val="center"/>
            </w:pPr>
            <w:r>
              <w:rPr>
                <w:sz w:val="17"/>
              </w:rPr>
              <w:t>18</w:t>
            </w:r>
          </w:p>
        </w:tc>
        <w:tc>
          <w:tcPr>
            <w:tcW w:type="dxa" w:w="1337"/>
            <w:shd w:val="clear" w:color="auto" w:fill="F4F6F6"/>
            <w:tcMar>
              <w:top w:w="50" w:type="dxa"/>
              <w:bottom w:w="50" w:type="dxa"/>
              <w:left w:w="70" w:type="dxa"/>
              <w:right w:w="70" w:type="dxa"/>
            </w:tcMar>
          </w:tcPr>
          <w:p>
            <w:pPr>
              <w:jc w:val="center"/>
            </w:pPr>
            <w:r>
              <w:rPr>
                <w:sz w:val="17"/>
              </w:rPr>
              <w:t>FAIL</w:t>
            </w:r>
          </w:p>
        </w:tc>
        <w:tc>
          <w:tcPr>
            <w:tcW w:type="dxa" w:w="1337"/>
            <w:shd w:val="clear" w:color="auto" w:fill="F4F6F6"/>
            <w:tcMar>
              <w:top w:w="50" w:type="dxa"/>
              <w:bottom w:w="50" w:type="dxa"/>
              <w:left w:w="70" w:type="dxa"/>
              <w:right w:w="70" w:type="dxa"/>
            </w:tcMar>
          </w:tcPr>
          <w:p>
            <w:pPr>
              <w:jc w:val="center"/>
            </w:pPr>
            <w:r>
              <w:rPr>
                <w:b/>
                <w:color w:val="2A9D8F"/>
                <w:sz w:val="17"/>
              </w:rPr>
              <w:t>PASS</w:t>
            </w:r>
          </w:p>
        </w:tc>
        <w:tc>
          <w:tcPr>
            <w:tcW w:type="dxa" w:w="1337"/>
            <w:shd w:val="clear" w:color="auto" w:fill="F4F6F6"/>
            <w:tcMar>
              <w:top w:w="50" w:type="dxa"/>
              <w:bottom w:w="50" w:type="dxa"/>
              <w:left w:w="70" w:type="dxa"/>
              <w:right w:w="70" w:type="dxa"/>
            </w:tcMar>
          </w:tcPr>
          <w:p>
            <w:pPr>
              <w:jc w:val="center"/>
            </w:pPr>
            <w:r>
              <w:rPr>
                <w:b/>
                <w:color w:val="005F73"/>
                <w:sz w:val="17"/>
              </w:rPr>
              <w:t>VALID</w:t>
            </w:r>
          </w:p>
        </w:tc>
        <w:tc>
          <w:tcPr>
            <w:tcW w:type="dxa" w:w="1337"/>
            <w:shd w:val="clear" w:color="auto" w:fill="F4F6F6"/>
            <w:tcMar>
              <w:top w:w="50" w:type="dxa"/>
              <w:bottom w:w="50" w:type="dxa"/>
              <w:left w:w="70" w:type="dxa"/>
              <w:right w:w="70" w:type="dxa"/>
            </w:tcMar>
          </w:tcPr>
          <w:p>
            <w:pPr>
              <w:jc w:val="center"/>
            </w:pPr>
            <w:r>
              <w:rPr>
                <w:sz w:val="17"/>
              </w:rPr>
              <w:t>0.29 Å</w:t>
            </w:r>
          </w:p>
        </w:tc>
        <w:tc>
          <w:tcPr>
            <w:tcW w:type="dxa" w:w="1337"/>
            <w:shd w:val="clear" w:color="auto" w:fill="F4F6F6"/>
            <w:tcMar>
              <w:top w:w="50" w:type="dxa"/>
              <w:bottom w:w="50" w:type="dxa"/>
              <w:left w:w="70" w:type="dxa"/>
              <w:right w:w="70" w:type="dxa"/>
            </w:tcMar>
          </w:tcPr>
          <w:p>
            <w:pPr>
              <w:jc w:val="center"/>
            </w:pPr>
            <w:r>
              <w:rPr>
                <w:sz w:val="17"/>
              </w:rPr>
              <w:t>1.92s</w:t>
            </w:r>
          </w:p>
        </w:tc>
      </w:tr>
      <w:tr>
        <w:tc>
          <w:tcPr>
            <w:tcW w:type="dxa" w:w="1337"/>
            <w:shd w:val="clear" w:color="auto" w:fill="FFFFFF"/>
            <w:tcMar>
              <w:top w:w="50" w:type="dxa"/>
              <w:bottom w:w="50" w:type="dxa"/>
              <w:left w:w="70" w:type="dxa"/>
              <w:right w:w="70" w:type="dxa"/>
            </w:tcMar>
          </w:tcPr>
          <w:p>
            <w:pPr>
              <w:jc w:val="center"/>
            </w:pPr>
            <w:r>
              <w:rPr>
                <w:sz w:val="17"/>
              </w:rPr>
              <w:t>6Z5Z_BDF</w:t>
            </w:r>
          </w:p>
        </w:tc>
        <w:tc>
          <w:tcPr>
            <w:tcW w:type="dxa" w:w="1337"/>
            <w:shd w:val="clear" w:color="auto" w:fill="FFFFFF"/>
            <w:tcMar>
              <w:top w:w="50" w:type="dxa"/>
              <w:bottom w:w="50" w:type="dxa"/>
              <w:left w:w="70" w:type="dxa"/>
              <w:right w:w="70" w:type="dxa"/>
            </w:tcMar>
          </w:tcPr>
          <w:p>
            <w:pPr>
              <w:jc w:val="center"/>
            </w:pPr>
            <w:r>
              <w:rPr>
                <w:sz w:val="17"/>
              </w:rPr>
              <w:t>12</w:t>
            </w:r>
          </w:p>
        </w:tc>
        <w:tc>
          <w:tcPr>
            <w:tcW w:type="dxa" w:w="1337"/>
            <w:shd w:val="clear" w:color="auto" w:fill="FFFFFF"/>
            <w:tcMar>
              <w:top w:w="50" w:type="dxa"/>
              <w:bottom w:w="50" w:type="dxa"/>
              <w:left w:w="70" w:type="dxa"/>
              <w:right w:w="70" w:type="dxa"/>
            </w:tcMar>
          </w:tcPr>
          <w:p>
            <w:pPr>
              <w:jc w:val="center"/>
            </w:pPr>
            <w:r>
              <w:rPr>
                <w:sz w:val="17"/>
              </w:rPr>
              <w:t>FAIL</w:t>
            </w:r>
          </w:p>
        </w:tc>
        <w:tc>
          <w:tcPr>
            <w:tcW w:type="dxa" w:w="1337"/>
            <w:shd w:val="clear" w:color="auto" w:fill="FFFFFF"/>
            <w:tcMar>
              <w:top w:w="50" w:type="dxa"/>
              <w:bottom w:w="50" w:type="dxa"/>
              <w:left w:w="70" w:type="dxa"/>
              <w:right w:w="70" w:type="dxa"/>
            </w:tcMar>
          </w:tcPr>
          <w:p>
            <w:pPr>
              <w:jc w:val="center"/>
            </w:pPr>
            <w:r>
              <w:rPr>
                <w:b/>
                <w:color w:val="2A9D8F"/>
                <w:sz w:val="17"/>
              </w:rPr>
              <w:t>PASS</w:t>
            </w:r>
          </w:p>
        </w:tc>
        <w:tc>
          <w:tcPr>
            <w:tcW w:type="dxa" w:w="1337"/>
            <w:shd w:val="clear" w:color="auto" w:fill="FFFFFF"/>
            <w:tcMar>
              <w:top w:w="50" w:type="dxa"/>
              <w:bottom w:w="50" w:type="dxa"/>
              <w:left w:w="70" w:type="dxa"/>
              <w:right w:w="70" w:type="dxa"/>
            </w:tcMar>
          </w:tcPr>
          <w:p>
            <w:pPr>
              <w:jc w:val="center"/>
            </w:pPr>
            <w:r>
              <w:rPr>
                <w:b/>
                <w:color w:val="005F73"/>
                <w:sz w:val="17"/>
              </w:rPr>
              <w:t>VALID</w:t>
            </w:r>
          </w:p>
        </w:tc>
        <w:tc>
          <w:tcPr>
            <w:tcW w:type="dxa" w:w="1337"/>
            <w:shd w:val="clear" w:color="auto" w:fill="FFFFFF"/>
            <w:tcMar>
              <w:top w:w="50" w:type="dxa"/>
              <w:bottom w:w="50" w:type="dxa"/>
              <w:left w:w="70" w:type="dxa"/>
              <w:right w:w="70" w:type="dxa"/>
            </w:tcMar>
          </w:tcPr>
          <w:p>
            <w:pPr>
              <w:jc w:val="center"/>
            </w:pPr>
            <w:r>
              <w:rPr>
                <w:sz w:val="17"/>
              </w:rPr>
              <w:t>0.86 Å</w:t>
            </w:r>
          </w:p>
        </w:tc>
        <w:tc>
          <w:tcPr>
            <w:tcW w:type="dxa" w:w="1337"/>
            <w:shd w:val="clear" w:color="auto" w:fill="FFFFFF"/>
            <w:tcMar>
              <w:top w:w="50" w:type="dxa"/>
              <w:bottom w:w="50" w:type="dxa"/>
              <w:left w:w="70" w:type="dxa"/>
              <w:right w:w="70" w:type="dxa"/>
            </w:tcMar>
          </w:tcPr>
          <w:p>
            <w:pPr>
              <w:jc w:val="center"/>
            </w:pPr>
            <w:r>
              <w:rPr>
                <w:sz w:val="17"/>
              </w:rPr>
              <w:t>0.61s</w:t>
            </w:r>
          </w:p>
        </w:tc>
      </w:tr>
      <w:tr>
        <w:tc>
          <w:tcPr>
            <w:tcW w:type="dxa" w:w="1337"/>
            <w:shd w:val="clear" w:color="auto" w:fill="F4F6F6"/>
            <w:tcMar>
              <w:top w:w="50" w:type="dxa"/>
              <w:bottom w:w="50" w:type="dxa"/>
              <w:left w:w="70" w:type="dxa"/>
              <w:right w:w="70" w:type="dxa"/>
            </w:tcMar>
          </w:tcPr>
          <w:p>
            <w:pPr>
              <w:jc w:val="center"/>
            </w:pPr>
            <w:r>
              <w:rPr>
                <w:sz w:val="17"/>
              </w:rPr>
              <w:t>7A1P_QW2</w:t>
            </w:r>
          </w:p>
        </w:tc>
        <w:tc>
          <w:tcPr>
            <w:tcW w:type="dxa" w:w="1337"/>
            <w:shd w:val="clear" w:color="auto" w:fill="F4F6F6"/>
            <w:tcMar>
              <w:top w:w="50" w:type="dxa"/>
              <w:bottom w:w="50" w:type="dxa"/>
              <w:left w:w="70" w:type="dxa"/>
              <w:right w:w="70" w:type="dxa"/>
            </w:tcMar>
          </w:tcPr>
          <w:p>
            <w:pPr>
              <w:jc w:val="center"/>
            </w:pPr>
            <w:r>
              <w:rPr>
                <w:sz w:val="17"/>
              </w:rPr>
              <w:t>13</w:t>
            </w:r>
          </w:p>
        </w:tc>
        <w:tc>
          <w:tcPr>
            <w:tcW w:type="dxa" w:w="1337"/>
            <w:shd w:val="clear" w:color="auto" w:fill="F4F6F6"/>
            <w:tcMar>
              <w:top w:w="50" w:type="dxa"/>
              <w:bottom w:w="50" w:type="dxa"/>
              <w:left w:w="70" w:type="dxa"/>
              <w:right w:w="70" w:type="dxa"/>
            </w:tcMar>
          </w:tcPr>
          <w:p>
            <w:pPr>
              <w:jc w:val="center"/>
            </w:pPr>
            <w:r>
              <w:rPr>
                <w:sz w:val="17"/>
              </w:rPr>
              <w:t>FAIL</w:t>
            </w:r>
          </w:p>
        </w:tc>
        <w:tc>
          <w:tcPr>
            <w:tcW w:type="dxa" w:w="1337"/>
            <w:shd w:val="clear" w:color="auto" w:fill="F4F6F6"/>
            <w:tcMar>
              <w:top w:w="50" w:type="dxa"/>
              <w:bottom w:w="50" w:type="dxa"/>
              <w:left w:w="70" w:type="dxa"/>
              <w:right w:w="70" w:type="dxa"/>
            </w:tcMar>
          </w:tcPr>
          <w:p>
            <w:pPr>
              <w:jc w:val="center"/>
            </w:pPr>
            <w:r>
              <w:rPr>
                <w:b/>
                <w:color w:val="2A9D8F"/>
                <w:sz w:val="17"/>
              </w:rPr>
              <w:t>PASS</w:t>
            </w:r>
          </w:p>
        </w:tc>
        <w:tc>
          <w:tcPr>
            <w:tcW w:type="dxa" w:w="1337"/>
            <w:shd w:val="clear" w:color="auto" w:fill="F4F6F6"/>
            <w:tcMar>
              <w:top w:w="50" w:type="dxa"/>
              <w:bottom w:w="50" w:type="dxa"/>
              <w:left w:w="70" w:type="dxa"/>
              <w:right w:w="70" w:type="dxa"/>
            </w:tcMar>
          </w:tcPr>
          <w:p>
            <w:pPr>
              <w:jc w:val="center"/>
            </w:pPr>
            <w:r>
              <w:rPr>
                <w:b/>
                <w:color w:val="005F73"/>
                <w:sz w:val="17"/>
              </w:rPr>
              <w:t>VALID</w:t>
            </w:r>
          </w:p>
        </w:tc>
        <w:tc>
          <w:tcPr>
            <w:tcW w:type="dxa" w:w="1337"/>
            <w:shd w:val="clear" w:color="auto" w:fill="F4F6F6"/>
            <w:tcMar>
              <w:top w:w="50" w:type="dxa"/>
              <w:bottom w:w="50" w:type="dxa"/>
              <w:left w:w="70" w:type="dxa"/>
              <w:right w:w="70" w:type="dxa"/>
            </w:tcMar>
          </w:tcPr>
          <w:p>
            <w:pPr>
              <w:jc w:val="center"/>
            </w:pPr>
            <w:r>
              <w:rPr>
                <w:sz w:val="17"/>
              </w:rPr>
              <w:t>0.63 Å</w:t>
            </w:r>
          </w:p>
        </w:tc>
        <w:tc>
          <w:tcPr>
            <w:tcW w:type="dxa" w:w="1337"/>
            <w:shd w:val="clear" w:color="auto" w:fill="F4F6F6"/>
            <w:tcMar>
              <w:top w:w="50" w:type="dxa"/>
              <w:bottom w:w="50" w:type="dxa"/>
              <w:left w:w="70" w:type="dxa"/>
              <w:right w:w="70" w:type="dxa"/>
            </w:tcMar>
          </w:tcPr>
          <w:p>
            <w:pPr>
              <w:jc w:val="center"/>
            </w:pPr>
            <w:r>
              <w:rPr>
                <w:sz w:val="17"/>
              </w:rPr>
              <w:t>4.13s</w:t>
            </w:r>
          </w:p>
        </w:tc>
      </w:tr>
      <w:tr>
        <w:tc>
          <w:tcPr>
            <w:tcW w:type="dxa" w:w="1337"/>
            <w:shd w:val="clear" w:color="auto" w:fill="FFFFFF"/>
            <w:tcMar>
              <w:top w:w="50" w:type="dxa"/>
              <w:bottom w:w="50" w:type="dxa"/>
              <w:left w:w="70" w:type="dxa"/>
              <w:right w:w="70" w:type="dxa"/>
            </w:tcMar>
          </w:tcPr>
          <w:p>
            <w:pPr>
              <w:jc w:val="center"/>
            </w:pPr>
            <w:r>
              <w:rPr>
                <w:sz w:val="17"/>
              </w:rPr>
              <w:t>7A9E_R4W</w:t>
            </w:r>
          </w:p>
        </w:tc>
        <w:tc>
          <w:tcPr>
            <w:tcW w:type="dxa" w:w="1337"/>
            <w:shd w:val="clear" w:color="auto" w:fill="FFFFFF"/>
            <w:tcMar>
              <w:top w:w="50" w:type="dxa"/>
              <w:bottom w:w="50" w:type="dxa"/>
              <w:left w:w="70" w:type="dxa"/>
              <w:right w:w="70" w:type="dxa"/>
            </w:tcMar>
          </w:tcPr>
          <w:p>
            <w:pPr>
              <w:jc w:val="center"/>
            </w:pPr>
            <w:r>
              <w:rPr>
                <w:sz w:val="17"/>
              </w:rPr>
              <w:t>6</w:t>
            </w:r>
          </w:p>
        </w:tc>
        <w:tc>
          <w:tcPr>
            <w:tcW w:type="dxa" w:w="1337"/>
            <w:shd w:val="clear" w:color="auto" w:fill="FFFFFF"/>
            <w:tcMar>
              <w:top w:w="50" w:type="dxa"/>
              <w:bottom w:w="50" w:type="dxa"/>
              <w:left w:w="70" w:type="dxa"/>
              <w:right w:w="70" w:type="dxa"/>
            </w:tcMar>
          </w:tcPr>
          <w:p>
            <w:pPr>
              <w:jc w:val="center"/>
            </w:pPr>
            <w:r>
              <w:rPr>
                <w:sz w:val="17"/>
              </w:rPr>
              <w:t>FAIL</w:t>
            </w:r>
          </w:p>
        </w:tc>
        <w:tc>
          <w:tcPr>
            <w:tcW w:type="dxa" w:w="1337"/>
            <w:shd w:val="clear" w:color="auto" w:fill="FFFFFF"/>
            <w:tcMar>
              <w:top w:w="50" w:type="dxa"/>
              <w:bottom w:w="50" w:type="dxa"/>
              <w:left w:w="70" w:type="dxa"/>
              <w:right w:w="70" w:type="dxa"/>
            </w:tcMar>
          </w:tcPr>
          <w:p>
            <w:pPr>
              <w:jc w:val="center"/>
            </w:pPr>
            <w:r>
              <w:rPr>
                <w:b/>
                <w:color w:val="2A9D8F"/>
                <w:sz w:val="17"/>
              </w:rPr>
              <w:t>PASS</w:t>
            </w:r>
          </w:p>
        </w:tc>
        <w:tc>
          <w:tcPr>
            <w:tcW w:type="dxa" w:w="1337"/>
            <w:shd w:val="clear" w:color="auto" w:fill="FFFFFF"/>
            <w:tcMar>
              <w:top w:w="50" w:type="dxa"/>
              <w:bottom w:w="50" w:type="dxa"/>
              <w:left w:w="70" w:type="dxa"/>
              <w:right w:w="70" w:type="dxa"/>
            </w:tcMar>
          </w:tcPr>
          <w:p>
            <w:pPr>
              <w:jc w:val="center"/>
            </w:pPr>
            <w:r>
              <w:rPr>
                <w:b/>
                <w:color w:val="005F73"/>
                <w:sz w:val="17"/>
              </w:rPr>
              <w:t>VALID</w:t>
            </w:r>
          </w:p>
        </w:tc>
        <w:tc>
          <w:tcPr>
            <w:tcW w:type="dxa" w:w="1337"/>
            <w:shd w:val="clear" w:color="auto" w:fill="FFFFFF"/>
            <w:tcMar>
              <w:top w:w="50" w:type="dxa"/>
              <w:bottom w:w="50" w:type="dxa"/>
              <w:left w:w="70" w:type="dxa"/>
              <w:right w:w="70" w:type="dxa"/>
            </w:tcMar>
          </w:tcPr>
          <w:p>
            <w:pPr>
              <w:jc w:val="center"/>
            </w:pPr>
            <w:r>
              <w:rPr>
                <w:sz w:val="17"/>
              </w:rPr>
              <w:t>0.53 Å</w:t>
            </w:r>
          </w:p>
        </w:tc>
        <w:tc>
          <w:tcPr>
            <w:tcW w:type="dxa" w:w="1337"/>
            <w:shd w:val="clear" w:color="auto" w:fill="FFFFFF"/>
            <w:tcMar>
              <w:top w:w="50" w:type="dxa"/>
              <w:bottom w:w="50" w:type="dxa"/>
              <w:left w:w="70" w:type="dxa"/>
              <w:right w:w="70" w:type="dxa"/>
            </w:tcMar>
          </w:tcPr>
          <w:p>
            <w:pPr>
              <w:jc w:val="center"/>
            </w:pPr>
            <w:r>
              <w:rPr>
                <w:sz w:val="17"/>
              </w:rPr>
              <w:t>0.84s</w:t>
            </w:r>
          </w:p>
        </w:tc>
      </w:tr>
    </w:tbl>
    <w:p>
      <w:pPr>
        <w:spacing w:before="160"/>
      </w:pPr>
    </w:p>
    <w:p>
      <w:r>
        <w:rPr>
          <w:rFonts w:ascii="Calibri" w:hAnsi="Calibri"/>
          <w:b/>
          <w:sz w:val="22"/>
        </w:rPr>
        <w:t>Understanding the 52.0% Pass Rate</w:t>
      </w:r>
      <w:r>
        <w:rPr>
          <w:rFonts w:ascii="Calibri" w:hAnsi="Calibri"/>
          <w:sz w:val="22"/>
        </w:rPr>
        <w:t>: The increase from 2.0% to 52.0% represents a dramatic leap over existing generative models. For the remaining 24 targets, inspection reveals that steric relief would require protein backbone relaxation ('pocket breathing') or stereocenter inversion—degrees of freedom deliberately excluded in FreeSolvE to guarantee that receptor structures and ligand chiralities remain strictly invariant.</w:t>
      </w:r>
    </w:p>
    <w:p>
      <w:pPr>
        <w:pStyle w:val="Heading2"/>
        <w:keepNext/>
        <w:spacing w:before="280" w:after="120"/>
      </w:pPr>
      <w:r>
        <w:rPr>
          <w:b/>
          <w:color w:val="0A9396"/>
          <w:sz w:val="26"/>
        </w:rPr>
        <w:t>3.2 Ultra-Fast Deep Learning Training Ablation</w:t>
      </w:r>
    </w:p>
    <w:p>
      <w:r>
        <w:rPr>
          <w:rFonts w:ascii="Calibri" w:hAnsi="Calibri"/>
          <w:sz w:val="22"/>
        </w:rPr>
        <w:t>To determine whether FreeSolvE can act directly as a real-time loss function during neural network training without causing computational bottlenecks, we trained two identical pose predictor networks:</w:t>
        <w:br/>
        <w:t xml:space="preserve">• </w:t>
      </w:r>
      <w:r>
        <w:rPr>
          <w:rFonts w:ascii="Calibri" w:hAnsi="Calibri"/>
          <w:b/>
          <w:sz w:val="22"/>
        </w:rPr>
        <w:t>Model A (Pure MSE Baseline)</w:t>
      </w:r>
      <w:r>
        <w:rPr>
          <w:rFonts w:ascii="Calibri" w:hAnsi="Calibri"/>
          <w:sz w:val="22"/>
        </w:rPr>
        <w:t>: Coordinate regression loss.</w:t>
        <w:br/>
        <w:t xml:space="preserve">• </w:t>
      </w:r>
      <w:r>
        <w:rPr>
          <w:rFonts w:ascii="Calibri" w:hAnsi="Calibri"/>
          <w:b/>
          <w:sz w:val="22"/>
        </w:rPr>
        <w:t>Model B (FreeSolvE-Augmented)</w:t>
      </w:r>
      <w:r>
        <w:rPr>
          <w:rFonts w:ascii="Calibri" w:hAnsi="Calibri"/>
          <w:sz w:val="22"/>
        </w:rPr>
        <w:t>: L</w:t>
      </w:r>
      <w:r>
        <w:rPr>
          <w:rFonts w:ascii="Calibri" w:hAnsi="Calibri"/>
          <w:sz w:val="22"/>
        </w:rPr>
        <w:t>_</w:t>
      </w:r>
      <w:r>
        <w:rPr>
          <w:rFonts w:ascii="Calibri" w:hAnsi="Calibri"/>
          <w:sz w:val="22"/>
        </w:rPr>
        <w:t>B = L</w:t>
      </w:r>
      <w:r>
        <w:rPr>
          <w:rFonts w:ascii="Calibri" w:hAnsi="Calibri"/>
          <w:sz w:val="22"/>
        </w:rPr>
        <w:t>_</w:t>
      </w:r>
      <w:r>
        <w:rPr>
          <w:rFonts w:ascii="Calibri" w:hAnsi="Calibri"/>
          <w:sz w:val="22"/>
        </w:rPr>
        <w:t>MSE + 0.08 · L</w:t>
      </w:r>
      <w:r>
        <w:rPr>
          <w:rFonts w:ascii="Calibri" w:hAnsi="Calibri"/>
          <w:sz w:val="22"/>
        </w:rPr>
        <w:t>_</w:t>
      </w:r>
      <w:r>
        <w:rPr>
          <w:rFonts w:ascii="Calibri" w:hAnsi="Calibri"/>
          <w:sz w:val="22"/>
        </w:rPr>
        <w:t>FreeSolvE.</w:t>
        <w:br/>
        <w:br/>
        <w:t xml:space="preserve">Due to FreeSolvE's sub-10ms FFT solver and vectorized kinematics, backpropagation of </w:t>
      </w:r>
      <w:r>
        <w:rPr>
          <w:rFonts w:ascii="Consolas" w:hAnsi="Consolas"/>
          <w:color w:val="005F73"/>
          <w:sz w:val="20"/>
        </w:rPr>
        <w:t>FreeSolvEPhysicsLoss</w:t>
      </w:r>
      <w:r>
        <w:rPr>
          <w:rFonts w:ascii="Calibri" w:hAnsi="Calibri"/>
          <w:sz w:val="22"/>
        </w:rPr>
        <w:t xml:space="preserve"> added less than 15 milliseconds per mini-batch step, allowing seamless integration into standard PyTorch training loops.</w:t>
      </w:r>
    </w:p>
    <w:p>
      <w:pPr>
        <w:spacing w:after="80"/>
        <w:jc w:val="center"/>
      </w:pPr>
      <w:r>
        <w:drawing>
          <wp:inline xmlns:a="http://schemas.openxmlformats.org/drawingml/2006/main" xmlns:pic="http://schemas.openxmlformats.org/drawingml/2006/picture">
            <wp:extent cx="5669280" cy="2362200"/>
            <wp:docPr id="4" name="Picture 4"/>
            <wp:cNvGraphicFramePr>
              <a:graphicFrameLocks noChangeAspect="1"/>
            </wp:cNvGraphicFramePr>
            <a:graphic>
              <a:graphicData uri="http://schemas.openxmlformats.org/drawingml/2006/picture">
                <pic:pic>
                  <pic:nvPicPr>
                    <pic:cNvPr id="0" name="fig_ai_training.png"/>
                    <pic:cNvPicPr/>
                  </pic:nvPicPr>
                  <pic:blipFill>
                    <a:blip r:embed="rId12"/>
                    <a:stretch>
                      <a:fillRect/>
                    </a:stretch>
                  </pic:blipFill>
                  <pic:spPr>
                    <a:xfrm>
                      <a:off x="0" y="0"/>
                      <a:ext cx="5669280" cy="2362200"/>
                    </a:xfrm>
                    <a:prstGeom prst="rect"/>
                  </pic:spPr>
                </pic:pic>
              </a:graphicData>
            </a:graphic>
          </wp:inline>
        </w:drawing>
      </w:r>
    </w:p>
    <w:p>
      <w:pPr>
        <w:spacing w:after="240"/>
        <w:jc w:val="center"/>
      </w:pPr>
      <w:r>
        <w:rPr>
          <w:i/>
          <w:color w:val="6C757D"/>
          <w:sz w:val="19"/>
        </w:rPr>
        <w:t>Figure 4: Side-by-side PyTorch training dynamics over 30 epochs. Model A (Pure MSE, red dashed line) rapidly minimizes coordinate error but remains permanently trapped in pocket wall collisions (1 persisting severe clash). Model B (MSE + FreeSolvE Physics Loss, green solid line) completely eliminates clashes from 5 to 0 within 5 epochs, sustaining zero clashes and 100% PoseBusters validity throughout training with negligible latency overhead (+14ms/step).</w:t>
      </w:r>
    </w:p>
    <w:p>
      <w:r>
        <w:rPr>
          <w:b/>
        </w:rPr>
        <w:t>Table 2: Side-by-Side Training Dynamics and Computational Latency Overhead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64653"/>
            <w:tcMar>
              <w:top w:w="70" w:type="dxa"/>
              <w:bottom w:w="70" w:type="dxa"/>
              <w:left w:w="80" w:type="dxa"/>
              <w:right w:w="80" w:type="dxa"/>
            </w:tcMar>
          </w:tcPr>
          <w:p>
            <w:pPr>
              <w:jc w:val="center"/>
            </w:pPr>
            <w:r>
              <w:rPr>
                <w:b/>
                <w:color w:val="FFFFFF"/>
                <w:sz w:val="18"/>
              </w:rPr>
              <w:t>Epoch</w:t>
            </w:r>
          </w:p>
        </w:tc>
        <w:tc>
          <w:tcPr>
            <w:tcW w:type="dxa" w:w="1560"/>
            <w:shd w:val="clear" w:color="auto" w:fill="264653"/>
            <w:tcMar>
              <w:top w:w="70" w:type="dxa"/>
              <w:bottom w:w="70" w:type="dxa"/>
              <w:left w:w="80" w:type="dxa"/>
              <w:right w:w="80" w:type="dxa"/>
            </w:tcMar>
          </w:tcPr>
          <w:p>
            <w:pPr>
              <w:jc w:val="center"/>
            </w:pPr>
            <w:r>
              <w:rPr>
                <w:b/>
                <w:color w:val="FFFFFF"/>
                <w:sz w:val="18"/>
              </w:rPr>
              <w:t>Model A MSE</w:t>
            </w:r>
          </w:p>
        </w:tc>
        <w:tc>
          <w:tcPr>
            <w:tcW w:type="dxa" w:w="1560"/>
            <w:shd w:val="clear" w:color="auto" w:fill="264653"/>
            <w:tcMar>
              <w:top w:w="70" w:type="dxa"/>
              <w:bottom w:w="70" w:type="dxa"/>
              <w:left w:w="80" w:type="dxa"/>
              <w:right w:w="80" w:type="dxa"/>
            </w:tcMar>
          </w:tcPr>
          <w:p>
            <w:pPr>
              <w:jc w:val="center"/>
            </w:pPr>
            <w:r>
              <w:rPr>
                <w:b/>
                <w:color w:val="FFFFFF"/>
                <w:sz w:val="18"/>
              </w:rPr>
              <w:t>Model A Clashes</w:t>
            </w:r>
          </w:p>
        </w:tc>
        <w:tc>
          <w:tcPr>
            <w:tcW w:type="dxa" w:w="1560"/>
            <w:shd w:val="clear" w:color="auto" w:fill="264653"/>
            <w:tcMar>
              <w:top w:w="70" w:type="dxa"/>
              <w:bottom w:w="70" w:type="dxa"/>
              <w:left w:w="80" w:type="dxa"/>
              <w:right w:w="80" w:type="dxa"/>
            </w:tcMar>
          </w:tcPr>
          <w:p>
            <w:pPr>
              <w:jc w:val="center"/>
            </w:pPr>
            <w:r>
              <w:rPr>
                <w:b/>
                <w:color w:val="FFFFFF"/>
                <w:sz w:val="18"/>
              </w:rPr>
              <w:t>Model B MSE</w:t>
            </w:r>
          </w:p>
        </w:tc>
        <w:tc>
          <w:tcPr>
            <w:tcW w:type="dxa" w:w="1560"/>
            <w:shd w:val="clear" w:color="auto" w:fill="264653"/>
            <w:tcMar>
              <w:top w:w="70" w:type="dxa"/>
              <w:bottom w:w="70" w:type="dxa"/>
              <w:left w:w="80" w:type="dxa"/>
              <w:right w:w="80" w:type="dxa"/>
            </w:tcMar>
          </w:tcPr>
          <w:p>
            <w:pPr>
              <w:jc w:val="center"/>
            </w:pPr>
            <w:r>
              <w:rPr>
                <w:b/>
                <w:color w:val="FFFFFF"/>
                <w:sz w:val="18"/>
              </w:rPr>
              <w:t>Model B Clashes</w:t>
            </w:r>
          </w:p>
        </w:tc>
        <w:tc>
          <w:tcPr>
            <w:tcW w:type="dxa" w:w="1560"/>
            <w:shd w:val="clear" w:color="auto" w:fill="264653"/>
            <w:tcMar>
              <w:top w:w="70" w:type="dxa"/>
              <w:bottom w:w="70" w:type="dxa"/>
              <w:left w:w="80" w:type="dxa"/>
              <w:right w:w="80" w:type="dxa"/>
            </w:tcMar>
          </w:tcPr>
          <w:p>
            <w:pPr>
              <w:jc w:val="center"/>
            </w:pPr>
            <w:r>
              <w:rPr>
                <w:b/>
                <w:color w:val="FFFFFF"/>
                <w:sz w:val="18"/>
              </w:rPr>
              <w:t>Training Latency Overhead</w:t>
            </w:r>
          </w:p>
        </w:tc>
      </w:tr>
      <w:tr>
        <w:tc>
          <w:tcPr>
            <w:tcW w:type="dxa" w:w="1560"/>
            <w:shd w:val="clear" w:color="auto" w:fill="F4F6F6"/>
            <w:tcMar>
              <w:top w:w="50" w:type="dxa"/>
              <w:bottom w:w="50" w:type="dxa"/>
              <w:left w:w="70" w:type="dxa"/>
              <w:right w:w="70" w:type="dxa"/>
            </w:tcMar>
          </w:tcPr>
          <w:p>
            <w:pPr>
              <w:jc w:val="center"/>
            </w:pPr>
            <w:r>
              <w:rPr>
                <w:sz w:val="17"/>
              </w:rPr>
              <w:t>1</w:t>
            </w:r>
          </w:p>
        </w:tc>
        <w:tc>
          <w:tcPr>
            <w:tcW w:type="dxa" w:w="1560"/>
            <w:shd w:val="clear" w:color="auto" w:fill="F4F6F6"/>
            <w:tcMar>
              <w:top w:w="50" w:type="dxa"/>
              <w:bottom w:w="50" w:type="dxa"/>
              <w:left w:w="70" w:type="dxa"/>
              <w:right w:w="70" w:type="dxa"/>
            </w:tcMar>
          </w:tcPr>
          <w:p>
            <w:pPr>
              <w:jc w:val="center"/>
            </w:pPr>
            <w:r>
              <w:rPr>
                <w:sz w:val="17"/>
              </w:rPr>
              <w:t>0.4826</w:t>
            </w:r>
          </w:p>
        </w:tc>
        <w:tc>
          <w:tcPr>
            <w:tcW w:type="dxa" w:w="1560"/>
            <w:shd w:val="clear" w:color="auto" w:fill="F4F6F6"/>
            <w:tcMar>
              <w:top w:w="50" w:type="dxa"/>
              <w:bottom w:w="50" w:type="dxa"/>
              <w:left w:w="70" w:type="dxa"/>
              <w:right w:w="70" w:type="dxa"/>
            </w:tcMar>
          </w:tcPr>
          <w:p>
            <w:pPr>
              <w:jc w:val="center"/>
            </w:pPr>
            <w:r>
              <w:rPr>
                <w:sz w:val="17"/>
              </w:rPr>
              <w:t>5</w:t>
            </w:r>
          </w:p>
        </w:tc>
        <w:tc>
          <w:tcPr>
            <w:tcW w:type="dxa" w:w="1560"/>
            <w:shd w:val="clear" w:color="auto" w:fill="F4F6F6"/>
            <w:tcMar>
              <w:top w:w="50" w:type="dxa"/>
              <w:bottom w:w="50" w:type="dxa"/>
              <w:left w:w="70" w:type="dxa"/>
              <w:right w:w="70" w:type="dxa"/>
            </w:tcMar>
          </w:tcPr>
          <w:p>
            <w:pPr>
              <w:jc w:val="center"/>
            </w:pPr>
            <w:r>
              <w:rPr>
                <w:sz w:val="17"/>
              </w:rPr>
              <w:t>0.5077</w:t>
            </w:r>
          </w:p>
        </w:tc>
        <w:tc>
          <w:tcPr>
            <w:tcW w:type="dxa" w:w="1560"/>
            <w:shd w:val="clear" w:color="auto" w:fill="F4F6F6"/>
            <w:tcMar>
              <w:top w:w="50" w:type="dxa"/>
              <w:bottom w:w="50" w:type="dxa"/>
              <w:left w:w="70" w:type="dxa"/>
              <w:right w:w="70" w:type="dxa"/>
            </w:tcMar>
          </w:tcPr>
          <w:p>
            <w:pPr>
              <w:jc w:val="center"/>
            </w:pPr>
            <w:r>
              <w:rPr>
                <w:sz w:val="17"/>
              </w:rPr>
              <w:t>5</w:t>
            </w:r>
          </w:p>
        </w:tc>
        <w:tc>
          <w:tcPr>
            <w:tcW w:type="dxa" w:w="1560"/>
            <w:shd w:val="clear" w:color="auto" w:fill="F4F6F6"/>
            <w:tcMar>
              <w:top w:w="50" w:type="dxa"/>
              <w:bottom w:w="50" w:type="dxa"/>
              <w:left w:w="70" w:type="dxa"/>
              <w:right w:w="70" w:type="dxa"/>
            </w:tcMar>
          </w:tcPr>
          <w:p>
            <w:pPr>
              <w:jc w:val="center"/>
            </w:pPr>
            <w:r>
              <w:rPr>
                <w:sz w:val="17"/>
              </w:rPr>
              <w:t>+14.2 ms / step</w:t>
            </w:r>
          </w:p>
        </w:tc>
      </w:tr>
      <w:tr>
        <w:tc>
          <w:tcPr>
            <w:tcW w:type="dxa" w:w="1560"/>
            <w:shd w:val="clear" w:color="auto" w:fill="FFFFFF"/>
            <w:tcMar>
              <w:top w:w="50" w:type="dxa"/>
              <w:bottom w:w="50" w:type="dxa"/>
              <w:left w:w="70" w:type="dxa"/>
              <w:right w:w="70" w:type="dxa"/>
            </w:tcMar>
          </w:tcPr>
          <w:p>
            <w:pPr>
              <w:jc w:val="center"/>
            </w:pPr>
            <w:r>
              <w:rPr>
                <w:sz w:val="17"/>
              </w:rPr>
              <w:t>6</w:t>
            </w:r>
          </w:p>
        </w:tc>
        <w:tc>
          <w:tcPr>
            <w:tcW w:type="dxa" w:w="1560"/>
            <w:shd w:val="clear" w:color="auto" w:fill="FFFFFF"/>
            <w:tcMar>
              <w:top w:w="50" w:type="dxa"/>
              <w:bottom w:w="50" w:type="dxa"/>
              <w:left w:w="70" w:type="dxa"/>
              <w:right w:w="70" w:type="dxa"/>
            </w:tcMar>
          </w:tcPr>
          <w:p>
            <w:pPr>
              <w:jc w:val="center"/>
            </w:pPr>
            <w:r>
              <w:rPr>
                <w:sz w:val="17"/>
              </w:rPr>
              <w:t>0.1129</w:t>
            </w:r>
          </w:p>
        </w:tc>
        <w:tc>
          <w:tcPr>
            <w:tcW w:type="dxa" w:w="1560"/>
            <w:shd w:val="clear" w:color="auto" w:fill="FFFFFF"/>
            <w:tcMar>
              <w:top w:w="50" w:type="dxa"/>
              <w:bottom w:w="50" w:type="dxa"/>
              <w:left w:w="70" w:type="dxa"/>
              <w:right w:w="70" w:type="dxa"/>
            </w:tcMar>
          </w:tcPr>
          <w:p>
            <w:pPr>
              <w:jc w:val="center"/>
            </w:pPr>
            <w:r>
              <w:rPr>
                <w:sz w:val="17"/>
              </w:rPr>
              <w:t>2</w:t>
            </w:r>
          </w:p>
        </w:tc>
        <w:tc>
          <w:tcPr>
            <w:tcW w:type="dxa" w:w="1560"/>
            <w:shd w:val="clear" w:color="auto" w:fill="FFFFFF"/>
            <w:tcMar>
              <w:top w:w="50" w:type="dxa"/>
              <w:bottom w:w="50" w:type="dxa"/>
              <w:left w:w="70" w:type="dxa"/>
              <w:right w:w="70" w:type="dxa"/>
            </w:tcMar>
          </w:tcPr>
          <w:p>
            <w:pPr>
              <w:jc w:val="center"/>
            </w:pPr>
            <w:r>
              <w:rPr>
                <w:sz w:val="17"/>
              </w:rPr>
              <w:t>0.1916</w:t>
            </w:r>
          </w:p>
        </w:tc>
        <w:tc>
          <w:tcPr>
            <w:tcW w:type="dxa" w:w="1560"/>
            <w:shd w:val="clear" w:color="auto" w:fill="FFFFFF"/>
            <w:tcMar>
              <w:top w:w="50" w:type="dxa"/>
              <w:bottom w:w="50" w:type="dxa"/>
              <w:left w:w="70" w:type="dxa"/>
              <w:right w:w="70" w:type="dxa"/>
            </w:tcMar>
          </w:tcPr>
          <w:p>
            <w:pPr>
              <w:jc w:val="center"/>
            </w:pPr>
            <w:r>
              <w:rPr>
                <w:b/>
                <w:color w:val="2A9D8F"/>
                <w:sz w:val="17"/>
              </w:rPr>
              <w:t>0</w:t>
            </w:r>
          </w:p>
        </w:tc>
        <w:tc>
          <w:tcPr>
            <w:tcW w:type="dxa" w:w="1560"/>
            <w:shd w:val="clear" w:color="auto" w:fill="FFFFFF"/>
            <w:tcMar>
              <w:top w:w="50" w:type="dxa"/>
              <w:bottom w:w="50" w:type="dxa"/>
              <w:left w:w="70" w:type="dxa"/>
              <w:right w:w="70" w:type="dxa"/>
            </w:tcMar>
          </w:tcPr>
          <w:p>
            <w:pPr>
              <w:jc w:val="center"/>
            </w:pPr>
            <w:r>
              <w:rPr>
                <w:sz w:val="17"/>
              </w:rPr>
              <w:t>+13.8 ms / step</w:t>
            </w:r>
          </w:p>
        </w:tc>
      </w:tr>
      <w:tr>
        <w:tc>
          <w:tcPr>
            <w:tcW w:type="dxa" w:w="1560"/>
            <w:shd w:val="clear" w:color="auto" w:fill="F4F6F6"/>
            <w:tcMar>
              <w:top w:w="50" w:type="dxa"/>
              <w:bottom w:w="50" w:type="dxa"/>
              <w:left w:w="70" w:type="dxa"/>
              <w:right w:w="70" w:type="dxa"/>
            </w:tcMar>
          </w:tcPr>
          <w:p>
            <w:pPr>
              <w:jc w:val="center"/>
            </w:pPr>
            <w:r>
              <w:rPr>
                <w:sz w:val="17"/>
              </w:rPr>
              <w:t>11</w:t>
            </w:r>
          </w:p>
        </w:tc>
        <w:tc>
          <w:tcPr>
            <w:tcW w:type="dxa" w:w="1560"/>
            <w:shd w:val="clear" w:color="auto" w:fill="F4F6F6"/>
            <w:tcMar>
              <w:top w:w="50" w:type="dxa"/>
              <w:bottom w:w="50" w:type="dxa"/>
              <w:left w:w="70" w:type="dxa"/>
              <w:right w:w="70" w:type="dxa"/>
            </w:tcMar>
          </w:tcPr>
          <w:p>
            <w:pPr>
              <w:jc w:val="center"/>
            </w:pPr>
            <w:r>
              <w:rPr>
                <w:sz w:val="17"/>
              </w:rPr>
              <w:t>0.0871</w:t>
            </w:r>
          </w:p>
        </w:tc>
        <w:tc>
          <w:tcPr>
            <w:tcW w:type="dxa" w:w="1560"/>
            <w:shd w:val="clear" w:color="auto" w:fill="F4F6F6"/>
            <w:tcMar>
              <w:top w:w="50" w:type="dxa"/>
              <w:bottom w:w="50" w:type="dxa"/>
              <w:left w:w="70" w:type="dxa"/>
              <w:right w:w="70" w:type="dxa"/>
            </w:tcMar>
          </w:tcPr>
          <w:p>
            <w:pPr>
              <w:jc w:val="center"/>
            </w:pPr>
            <w:r>
              <w:rPr>
                <w:sz w:val="17"/>
              </w:rPr>
              <w:t>1</w:t>
            </w:r>
          </w:p>
        </w:tc>
        <w:tc>
          <w:tcPr>
            <w:tcW w:type="dxa" w:w="1560"/>
            <w:shd w:val="clear" w:color="auto" w:fill="F4F6F6"/>
            <w:tcMar>
              <w:top w:w="50" w:type="dxa"/>
              <w:bottom w:w="50" w:type="dxa"/>
              <w:left w:w="70" w:type="dxa"/>
              <w:right w:w="70" w:type="dxa"/>
            </w:tcMar>
          </w:tcPr>
          <w:p>
            <w:pPr>
              <w:jc w:val="center"/>
            </w:pPr>
            <w:r>
              <w:rPr>
                <w:sz w:val="17"/>
              </w:rPr>
              <w:t>0.1828</w:t>
            </w:r>
          </w:p>
        </w:tc>
        <w:tc>
          <w:tcPr>
            <w:tcW w:type="dxa" w:w="1560"/>
            <w:shd w:val="clear" w:color="auto" w:fill="F4F6F6"/>
            <w:tcMar>
              <w:top w:w="50" w:type="dxa"/>
              <w:bottom w:w="50" w:type="dxa"/>
              <w:left w:w="70" w:type="dxa"/>
              <w:right w:w="70" w:type="dxa"/>
            </w:tcMar>
          </w:tcPr>
          <w:p>
            <w:pPr>
              <w:jc w:val="center"/>
            </w:pPr>
            <w:r>
              <w:rPr>
                <w:b/>
                <w:color w:val="2A9D8F"/>
                <w:sz w:val="17"/>
              </w:rPr>
              <w:t>0</w:t>
            </w:r>
          </w:p>
        </w:tc>
        <w:tc>
          <w:tcPr>
            <w:tcW w:type="dxa" w:w="1560"/>
            <w:shd w:val="clear" w:color="auto" w:fill="F4F6F6"/>
            <w:tcMar>
              <w:top w:w="50" w:type="dxa"/>
              <w:bottom w:w="50" w:type="dxa"/>
              <w:left w:w="70" w:type="dxa"/>
              <w:right w:w="70" w:type="dxa"/>
            </w:tcMar>
          </w:tcPr>
          <w:p>
            <w:pPr>
              <w:jc w:val="center"/>
            </w:pPr>
            <w:r>
              <w:rPr>
                <w:sz w:val="17"/>
              </w:rPr>
              <w:t>+14.1 ms / step</w:t>
            </w:r>
          </w:p>
        </w:tc>
      </w:tr>
      <w:tr>
        <w:tc>
          <w:tcPr>
            <w:tcW w:type="dxa" w:w="1560"/>
            <w:shd w:val="clear" w:color="auto" w:fill="FFFFFF"/>
            <w:tcMar>
              <w:top w:w="50" w:type="dxa"/>
              <w:bottom w:w="50" w:type="dxa"/>
              <w:left w:w="70" w:type="dxa"/>
              <w:right w:w="70" w:type="dxa"/>
            </w:tcMar>
          </w:tcPr>
          <w:p>
            <w:pPr>
              <w:jc w:val="center"/>
            </w:pPr>
            <w:r>
              <w:rPr>
                <w:sz w:val="17"/>
              </w:rPr>
              <w:t>16</w:t>
            </w:r>
          </w:p>
        </w:tc>
        <w:tc>
          <w:tcPr>
            <w:tcW w:type="dxa" w:w="1560"/>
            <w:shd w:val="clear" w:color="auto" w:fill="FFFFFF"/>
            <w:tcMar>
              <w:top w:w="50" w:type="dxa"/>
              <w:bottom w:w="50" w:type="dxa"/>
              <w:left w:w="70" w:type="dxa"/>
              <w:right w:w="70" w:type="dxa"/>
            </w:tcMar>
          </w:tcPr>
          <w:p>
            <w:pPr>
              <w:jc w:val="center"/>
            </w:pPr>
            <w:r>
              <w:rPr>
                <w:sz w:val="17"/>
              </w:rPr>
              <w:t>0.0662</w:t>
            </w:r>
          </w:p>
        </w:tc>
        <w:tc>
          <w:tcPr>
            <w:tcW w:type="dxa" w:w="1560"/>
            <w:shd w:val="clear" w:color="auto" w:fill="FFFFFF"/>
            <w:tcMar>
              <w:top w:w="50" w:type="dxa"/>
              <w:bottom w:w="50" w:type="dxa"/>
              <w:left w:w="70" w:type="dxa"/>
              <w:right w:w="70" w:type="dxa"/>
            </w:tcMar>
          </w:tcPr>
          <w:p>
            <w:pPr>
              <w:jc w:val="center"/>
            </w:pPr>
            <w:r>
              <w:rPr>
                <w:sz w:val="17"/>
              </w:rPr>
              <w:t>1</w:t>
            </w:r>
          </w:p>
        </w:tc>
        <w:tc>
          <w:tcPr>
            <w:tcW w:type="dxa" w:w="1560"/>
            <w:shd w:val="clear" w:color="auto" w:fill="FFFFFF"/>
            <w:tcMar>
              <w:top w:w="50" w:type="dxa"/>
              <w:bottom w:w="50" w:type="dxa"/>
              <w:left w:w="70" w:type="dxa"/>
              <w:right w:w="70" w:type="dxa"/>
            </w:tcMar>
          </w:tcPr>
          <w:p>
            <w:pPr>
              <w:jc w:val="center"/>
            </w:pPr>
            <w:r>
              <w:rPr>
                <w:sz w:val="17"/>
              </w:rPr>
              <w:t>0.1967</w:t>
            </w:r>
          </w:p>
        </w:tc>
        <w:tc>
          <w:tcPr>
            <w:tcW w:type="dxa" w:w="1560"/>
            <w:shd w:val="clear" w:color="auto" w:fill="FFFFFF"/>
            <w:tcMar>
              <w:top w:w="50" w:type="dxa"/>
              <w:bottom w:w="50" w:type="dxa"/>
              <w:left w:w="70" w:type="dxa"/>
              <w:right w:w="70" w:type="dxa"/>
            </w:tcMar>
          </w:tcPr>
          <w:p>
            <w:pPr>
              <w:jc w:val="center"/>
            </w:pPr>
            <w:r>
              <w:rPr>
                <w:b/>
                <w:color w:val="2A9D8F"/>
                <w:sz w:val="17"/>
              </w:rPr>
              <w:t>0</w:t>
            </w:r>
          </w:p>
        </w:tc>
        <w:tc>
          <w:tcPr>
            <w:tcW w:type="dxa" w:w="1560"/>
            <w:shd w:val="clear" w:color="auto" w:fill="FFFFFF"/>
            <w:tcMar>
              <w:top w:w="50" w:type="dxa"/>
              <w:bottom w:w="50" w:type="dxa"/>
              <w:left w:w="70" w:type="dxa"/>
              <w:right w:w="70" w:type="dxa"/>
            </w:tcMar>
          </w:tcPr>
          <w:p>
            <w:pPr>
              <w:jc w:val="center"/>
            </w:pPr>
            <w:r>
              <w:rPr>
                <w:sz w:val="17"/>
              </w:rPr>
              <w:t>+14.0 ms / step</w:t>
            </w:r>
          </w:p>
        </w:tc>
      </w:tr>
      <w:tr>
        <w:tc>
          <w:tcPr>
            <w:tcW w:type="dxa" w:w="1560"/>
            <w:shd w:val="clear" w:color="auto" w:fill="F4F6F6"/>
            <w:tcMar>
              <w:top w:w="50" w:type="dxa"/>
              <w:bottom w:w="50" w:type="dxa"/>
              <w:left w:w="70" w:type="dxa"/>
              <w:right w:w="70" w:type="dxa"/>
            </w:tcMar>
          </w:tcPr>
          <w:p>
            <w:pPr>
              <w:jc w:val="center"/>
            </w:pPr>
            <w:r>
              <w:rPr>
                <w:sz w:val="17"/>
              </w:rPr>
              <w:t>21</w:t>
            </w:r>
          </w:p>
        </w:tc>
        <w:tc>
          <w:tcPr>
            <w:tcW w:type="dxa" w:w="1560"/>
            <w:shd w:val="clear" w:color="auto" w:fill="F4F6F6"/>
            <w:tcMar>
              <w:top w:w="50" w:type="dxa"/>
              <w:bottom w:w="50" w:type="dxa"/>
              <w:left w:w="70" w:type="dxa"/>
              <w:right w:w="70" w:type="dxa"/>
            </w:tcMar>
          </w:tcPr>
          <w:p>
            <w:pPr>
              <w:jc w:val="center"/>
            </w:pPr>
            <w:r>
              <w:rPr>
                <w:sz w:val="17"/>
              </w:rPr>
              <w:t>0.0396</w:t>
            </w:r>
          </w:p>
        </w:tc>
        <w:tc>
          <w:tcPr>
            <w:tcW w:type="dxa" w:w="1560"/>
            <w:shd w:val="clear" w:color="auto" w:fill="F4F6F6"/>
            <w:tcMar>
              <w:top w:w="50" w:type="dxa"/>
              <w:bottom w:w="50" w:type="dxa"/>
              <w:left w:w="70" w:type="dxa"/>
              <w:right w:w="70" w:type="dxa"/>
            </w:tcMar>
          </w:tcPr>
          <w:p>
            <w:pPr>
              <w:jc w:val="center"/>
            </w:pPr>
            <w:r>
              <w:rPr>
                <w:sz w:val="17"/>
              </w:rPr>
              <w:t>1</w:t>
            </w:r>
          </w:p>
        </w:tc>
        <w:tc>
          <w:tcPr>
            <w:tcW w:type="dxa" w:w="1560"/>
            <w:shd w:val="clear" w:color="auto" w:fill="F4F6F6"/>
            <w:tcMar>
              <w:top w:w="50" w:type="dxa"/>
              <w:bottom w:w="50" w:type="dxa"/>
              <w:left w:w="70" w:type="dxa"/>
              <w:right w:w="70" w:type="dxa"/>
            </w:tcMar>
          </w:tcPr>
          <w:p>
            <w:pPr>
              <w:jc w:val="center"/>
            </w:pPr>
            <w:r>
              <w:rPr>
                <w:sz w:val="17"/>
              </w:rPr>
              <w:t>0.1970</w:t>
            </w:r>
          </w:p>
        </w:tc>
        <w:tc>
          <w:tcPr>
            <w:tcW w:type="dxa" w:w="1560"/>
            <w:shd w:val="clear" w:color="auto" w:fill="F4F6F6"/>
            <w:tcMar>
              <w:top w:w="50" w:type="dxa"/>
              <w:bottom w:w="50" w:type="dxa"/>
              <w:left w:w="70" w:type="dxa"/>
              <w:right w:w="70" w:type="dxa"/>
            </w:tcMar>
          </w:tcPr>
          <w:p>
            <w:pPr>
              <w:jc w:val="center"/>
            </w:pPr>
            <w:r>
              <w:rPr>
                <w:b/>
                <w:color w:val="2A9D8F"/>
                <w:sz w:val="17"/>
              </w:rPr>
              <w:t>0</w:t>
            </w:r>
          </w:p>
        </w:tc>
        <w:tc>
          <w:tcPr>
            <w:tcW w:type="dxa" w:w="1560"/>
            <w:shd w:val="clear" w:color="auto" w:fill="F4F6F6"/>
            <w:tcMar>
              <w:top w:w="50" w:type="dxa"/>
              <w:bottom w:w="50" w:type="dxa"/>
              <w:left w:w="70" w:type="dxa"/>
              <w:right w:w="70" w:type="dxa"/>
            </w:tcMar>
          </w:tcPr>
          <w:p>
            <w:pPr>
              <w:jc w:val="center"/>
            </w:pPr>
            <w:r>
              <w:rPr>
                <w:sz w:val="17"/>
              </w:rPr>
              <w:t>+14.3 ms / step</w:t>
            </w:r>
          </w:p>
        </w:tc>
      </w:tr>
      <w:tr>
        <w:tc>
          <w:tcPr>
            <w:tcW w:type="dxa" w:w="1560"/>
            <w:shd w:val="clear" w:color="auto" w:fill="FFFFFF"/>
            <w:tcMar>
              <w:top w:w="50" w:type="dxa"/>
              <w:bottom w:w="50" w:type="dxa"/>
              <w:left w:w="70" w:type="dxa"/>
              <w:right w:w="70" w:type="dxa"/>
            </w:tcMar>
          </w:tcPr>
          <w:p>
            <w:pPr>
              <w:jc w:val="center"/>
            </w:pPr>
            <w:r>
              <w:rPr>
                <w:sz w:val="17"/>
              </w:rPr>
              <w:t>26</w:t>
            </w:r>
          </w:p>
        </w:tc>
        <w:tc>
          <w:tcPr>
            <w:tcW w:type="dxa" w:w="1560"/>
            <w:shd w:val="clear" w:color="auto" w:fill="FFFFFF"/>
            <w:tcMar>
              <w:top w:w="50" w:type="dxa"/>
              <w:bottom w:w="50" w:type="dxa"/>
              <w:left w:w="70" w:type="dxa"/>
              <w:right w:w="70" w:type="dxa"/>
            </w:tcMar>
          </w:tcPr>
          <w:p>
            <w:pPr>
              <w:jc w:val="center"/>
            </w:pPr>
            <w:r>
              <w:rPr>
                <w:sz w:val="17"/>
              </w:rPr>
              <w:t>0.0214</w:t>
            </w:r>
          </w:p>
        </w:tc>
        <w:tc>
          <w:tcPr>
            <w:tcW w:type="dxa" w:w="1560"/>
            <w:shd w:val="clear" w:color="auto" w:fill="FFFFFF"/>
            <w:tcMar>
              <w:top w:w="50" w:type="dxa"/>
              <w:bottom w:w="50" w:type="dxa"/>
              <w:left w:w="70" w:type="dxa"/>
              <w:right w:w="70" w:type="dxa"/>
            </w:tcMar>
          </w:tcPr>
          <w:p>
            <w:pPr>
              <w:jc w:val="center"/>
            </w:pPr>
            <w:r>
              <w:rPr>
                <w:sz w:val="17"/>
              </w:rPr>
              <w:t>1</w:t>
            </w:r>
          </w:p>
        </w:tc>
        <w:tc>
          <w:tcPr>
            <w:tcW w:type="dxa" w:w="1560"/>
            <w:shd w:val="clear" w:color="auto" w:fill="FFFFFF"/>
            <w:tcMar>
              <w:top w:w="50" w:type="dxa"/>
              <w:bottom w:w="50" w:type="dxa"/>
              <w:left w:w="70" w:type="dxa"/>
              <w:right w:w="70" w:type="dxa"/>
            </w:tcMar>
          </w:tcPr>
          <w:p>
            <w:pPr>
              <w:jc w:val="center"/>
            </w:pPr>
            <w:r>
              <w:rPr>
                <w:sz w:val="17"/>
              </w:rPr>
              <w:t>0.2008</w:t>
            </w:r>
          </w:p>
        </w:tc>
        <w:tc>
          <w:tcPr>
            <w:tcW w:type="dxa" w:w="1560"/>
            <w:shd w:val="clear" w:color="auto" w:fill="FFFFFF"/>
            <w:tcMar>
              <w:top w:w="50" w:type="dxa"/>
              <w:bottom w:w="50" w:type="dxa"/>
              <w:left w:w="70" w:type="dxa"/>
              <w:right w:w="70" w:type="dxa"/>
            </w:tcMar>
          </w:tcPr>
          <w:p>
            <w:pPr>
              <w:jc w:val="center"/>
            </w:pPr>
            <w:r>
              <w:rPr>
                <w:b/>
                <w:color w:val="2A9D8F"/>
                <w:sz w:val="17"/>
              </w:rPr>
              <w:t>0</w:t>
            </w:r>
          </w:p>
        </w:tc>
        <w:tc>
          <w:tcPr>
            <w:tcW w:type="dxa" w:w="1560"/>
            <w:shd w:val="clear" w:color="auto" w:fill="FFFFFF"/>
            <w:tcMar>
              <w:top w:w="50" w:type="dxa"/>
              <w:bottom w:w="50" w:type="dxa"/>
              <w:left w:w="70" w:type="dxa"/>
              <w:right w:w="70" w:type="dxa"/>
            </w:tcMar>
          </w:tcPr>
          <w:p>
            <w:pPr>
              <w:jc w:val="center"/>
            </w:pPr>
            <w:r>
              <w:rPr>
                <w:sz w:val="17"/>
              </w:rPr>
              <w:t>+13.9 ms / step</w:t>
            </w:r>
          </w:p>
        </w:tc>
      </w:tr>
      <w:tr>
        <w:tc>
          <w:tcPr>
            <w:tcW w:type="dxa" w:w="1560"/>
            <w:shd w:val="clear" w:color="auto" w:fill="F4F6F6"/>
            <w:tcMar>
              <w:top w:w="50" w:type="dxa"/>
              <w:bottom w:w="50" w:type="dxa"/>
              <w:left w:w="70" w:type="dxa"/>
              <w:right w:w="70" w:type="dxa"/>
            </w:tcMar>
          </w:tcPr>
          <w:p>
            <w:pPr>
              <w:jc w:val="center"/>
            </w:pPr>
            <w:r>
              <w:rPr>
                <w:sz w:val="17"/>
              </w:rPr>
              <w:t>30</w:t>
            </w:r>
          </w:p>
        </w:tc>
        <w:tc>
          <w:tcPr>
            <w:tcW w:type="dxa" w:w="1560"/>
            <w:shd w:val="clear" w:color="auto" w:fill="F4F6F6"/>
            <w:tcMar>
              <w:top w:w="50" w:type="dxa"/>
              <w:bottom w:w="50" w:type="dxa"/>
              <w:left w:w="70" w:type="dxa"/>
              <w:right w:w="70" w:type="dxa"/>
            </w:tcMar>
          </w:tcPr>
          <w:p>
            <w:pPr>
              <w:jc w:val="center"/>
            </w:pPr>
            <w:r>
              <w:rPr>
                <w:sz w:val="17"/>
              </w:rPr>
              <w:t>0.0201</w:t>
            </w:r>
          </w:p>
        </w:tc>
        <w:tc>
          <w:tcPr>
            <w:tcW w:type="dxa" w:w="1560"/>
            <w:shd w:val="clear" w:color="auto" w:fill="F4F6F6"/>
            <w:tcMar>
              <w:top w:w="50" w:type="dxa"/>
              <w:bottom w:w="50" w:type="dxa"/>
              <w:left w:w="70" w:type="dxa"/>
              <w:right w:w="70" w:type="dxa"/>
            </w:tcMar>
          </w:tcPr>
          <w:p>
            <w:pPr>
              <w:jc w:val="center"/>
            </w:pPr>
            <w:r>
              <w:rPr>
                <w:sz w:val="17"/>
              </w:rPr>
              <w:t>1</w:t>
            </w:r>
          </w:p>
        </w:tc>
        <w:tc>
          <w:tcPr>
            <w:tcW w:type="dxa" w:w="1560"/>
            <w:shd w:val="clear" w:color="auto" w:fill="F4F6F6"/>
            <w:tcMar>
              <w:top w:w="50" w:type="dxa"/>
              <w:bottom w:w="50" w:type="dxa"/>
              <w:left w:w="70" w:type="dxa"/>
              <w:right w:w="70" w:type="dxa"/>
            </w:tcMar>
          </w:tcPr>
          <w:p>
            <w:pPr>
              <w:jc w:val="center"/>
            </w:pPr>
            <w:r>
              <w:rPr>
                <w:sz w:val="17"/>
              </w:rPr>
              <w:t>0.2049</w:t>
            </w:r>
          </w:p>
        </w:tc>
        <w:tc>
          <w:tcPr>
            <w:tcW w:type="dxa" w:w="1560"/>
            <w:shd w:val="clear" w:color="auto" w:fill="F4F6F6"/>
            <w:tcMar>
              <w:top w:w="50" w:type="dxa"/>
              <w:bottom w:w="50" w:type="dxa"/>
              <w:left w:w="70" w:type="dxa"/>
              <w:right w:w="70" w:type="dxa"/>
            </w:tcMar>
          </w:tcPr>
          <w:p>
            <w:pPr>
              <w:jc w:val="center"/>
            </w:pPr>
            <w:r>
              <w:rPr>
                <w:b/>
                <w:color w:val="2A9D8F"/>
                <w:sz w:val="17"/>
              </w:rPr>
              <w:t>0</w:t>
            </w:r>
          </w:p>
        </w:tc>
        <w:tc>
          <w:tcPr>
            <w:tcW w:type="dxa" w:w="1560"/>
            <w:shd w:val="clear" w:color="auto" w:fill="F4F6F6"/>
            <w:tcMar>
              <w:top w:w="50" w:type="dxa"/>
              <w:bottom w:w="50" w:type="dxa"/>
              <w:left w:w="70" w:type="dxa"/>
              <w:right w:w="70" w:type="dxa"/>
            </w:tcMar>
          </w:tcPr>
          <w:p>
            <w:pPr>
              <w:jc w:val="center"/>
            </w:pPr>
            <w:r>
              <w:rPr>
                <w:sz w:val="17"/>
              </w:rPr>
              <w:t>+14.1 ms / step</w:t>
            </w:r>
          </w:p>
        </w:tc>
      </w:tr>
    </w:tbl>
    <w:p>
      <w:pPr>
        <w:spacing w:before="200"/>
      </w:pPr>
    </w:p>
    <w:p>
      <w:pPr>
        <w:pStyle w:val="Heading2"/>
        <w:keepNext/>
        <w:spacing w:before="280" w:after="120"/>
      </w:pPr>
      <w:r>
        <w:rPr>
          <w:b/>
          <w:color w:val="0A9396"/>
          <w:sz w:val="26"/>
        </w:rPr>
        <w:t>3.3 FreeSolv Experimental Hydration Free Energy Benchmark</w:t>
      </w:r>
    </w:p>
    <w:p>
      <w:r>
        <w:rPr>
          <w:rFonts w:ascii="Calibri" w:hAnsi="Calibri"/>
          <w:sz w:val="22"/>
        </w:rPr>
        <w:t>To validate the continuum solvation engine independently, we benchmarked FreeSolvE against the experimental FreeSolv database (Mobley et al., 2014) across 128 diverse organic molecules.</w:t>
        <w:br/>
        <w:t xml:space="preserve">• </w:t>
      </w:r>
      <w:r>
        <w:rPr>
          <w:rFonts w:ascii="Calibri" w:hAnsi="Calibri"/>
          <w:b/>
          <w:sz w:val="22"/>
        </w:rPr>
        <w:t>Full Test Set (N = 128)</w:t>
      </w:r>
      <w:r>
        <w:rPr>
          <w:rFonts w:ascii="Calibri" w:hAnsi="Calibri"/>
          <w:sz w:val="22"/>
        </w:rPr>
        <w:t>: Pearson R = 0.7583, Spearman ρ = 0.7751, RMSE = 2.8450 kcal/mol, Eval Speed &lt; 8 ms/mol.</w:t>
        <w:br/>
        <w:t xml:space="preserve">• </w:t>
      </w:r>
      <w:r>
        <w:rPr>
          <w:rFonts w:ascii="Calibri" w:hAnsi="Calibri"/>
          <w:b/>
          <w:sz w:val="22"/>
        </w:rPr>
        <w:t>Clean Subset (N = 126)</w:t>
      </w:r>
      <w:r>
        <w:rPr>
          <w:rFonts w:ascii="Calibri" w:hAnsi="Calibri"/>
          <w:sz w:val="22"/>
        </w:rPr>
        <w:t>: Pearson R = 0.7940, Spearman ρ = 0.7929, RMSE = 2.7201 kcal/mol, Eval Speed &lt; 8 ms/mol.</w:t>
        <w:br/>
        <w:br/>
        <w:t xml:space="preserve">While explicit-solvent free energy perturbation (FEP) calculations with 100 ns molecular dynamics can reach </w:t>
      </w:r>
      <w:r>
        <w:rPr>
          <w:rFonts w:ascii="Calibri" w:hAnsi="Calibri"/>
          <w:sz w:val="22"/>
        </w:rPr>
        <w:t>~</w:t>
      </w:r>
      <w:r>
        <w:rPr>
          <w:rFonts w:ascii="Calibri" w:hAnsi="Calibri"/>
          <w:sz w:val="22"/>
        </w:rPr>
        <w:t>1.0–1.5 kcal/mol, they require days of GPU compute per molecule. FreeSolvE evaluates the full continuum free energy and its exact analytical spatial gradients in less than 8 milliseconds per molecule, providing the optimal trade-off between computational speed and biophysical accuracy.</w:t>
      </w:r>
    </w:p>
    <w:p>
      <w:pPr>
        <w:pStyle w:val="Heading1"/>
        <w:keepNext/>
        <w:spacing w:before="280" w:after="120"/>
      </w:pPr>
      <w:r>
        <w:rPr>
          <w:b/>
          <w:color w:val="005F73"/>
          <w:sz w:val="32"/>
        </w:rPr>
        <w:t>4. Discussion and Limitations</w:t>
      </w:r>
    </w:p>
    <w:p>
      <w:pPr>
        <w:pStyle w:val="Heading2"/>
        <w:keepNext/>
        <w:spacing w:before="280" w:after="120"/>
      </w:pPr>
      <w:r>
        <w:rPr>
          <w:b/>
          <w:color w:val="0A9396"/>
          <w:sz w:val="26"/>
        </w:rPr>
        <w:t>4.1 Speed and Scalability: Overcoming the MD Latency Barrier</w:t>
      </w:r>
    </w:p>
    <w:p>
      <w:r>
        <w:rPr>
          <w:rFonts w:ascii="Calibri" w:hAnsi="Calibri"/>
          <w:sz w:val="22"/>
        </w:rPr>
        <w:t xml:space="preserve">In modern generative drug discovery pipelines, algorithms frequently evaluate tens of thousands of candidate molecules per hour. Traditional MD simulation suites (AMBER, OpenMM, GROMACS) cannot operate at this velocity. By completing full pose relaxation in </w:t>
      </w:r>
      <w:r>
        <w:rPr>
          <w:rFonts w:ascii="Calibri" w:hAnsi="Calibri"/>
          <w:b/>
          <w:sz w:val="22"/>
        </w:rPr>
        <w:t>2.33 seconds per target on commodity CPU hardware</w:t>
      </w:r>
      <w:r>
        <w:rPr>
          <w:rFonts w:ascii="Calibri" w:hAnsi="Calibri"/>
          <w:sz w:val="22"/>
        </w:rPr>
        <w:t xml:space="preserve"> and electrostatic potential grid generation in </w:t>
      </w:r>
      <w:r>
        <w:rPr>
          <w:rFonts w:ascii="Calibri" w:hAnsi="Calibri"/>
          <w:b/>
          <w:sz w:val="22"/>
        </w:rPr>
        <w:t>under 10 milliseconds</w:t>
      </w:r>
      <w:r>
        <w:rPr>
          <w:rFonts w:ascii="Calibri" w:hAnsi="Calibri"/>
          <w:sz w:val="22"/>
        </w:rPr>
        <w:t>, FreeSolvE enables true high-throughput physical post-processing and online deep learning training.</w:t>
      </w:r>
    </w:p>
    <w:p>
      <w:pPr>
        <w:pStyle w:val="Heading2"/>
        <w:keepNext/>
        <w:spacing w:before="280" w:after="120"/>
      </w:pPr>
      <w:r>
        <w:rPr>
          <w:b/>
          <w:color w:val="0A9396"/>
          <w:sz w:val="26"/>
        </w:rPr>
        <w:t>4.2 Comparison with Classical Physics Engines</w:t>
      </w:r>
    </w:p>
    <w:p>
      <w:r>
        <w:rPr>
          <w:rFonts w:ascii="Calibri" w:hAnsi="Calibri"/>
          <w:sz w:val="22"/>
        </w:rPr>
        <w:t>In our benchmarking, state-of-the-art classical forcefields (OpenMM v8.5.1 with Amber14/GAFF) were tested on the identical PoseBusters dataset. In multiple instances, OpenMM halted immediately with parameterization errors:</w:t>
        <w:br/>
      </w:r>
      <w:r>
        <w:rPr>
          <w:rFonts w:ascii="Consolas" w:hAnsi="Consolas"/>
          <w:color w:val="005F73"/>
          <w:sz w:val="20"/>
        </w:rPr>
        <w:t>OpenMM Error: No template found for residue 0 (ARG)... missing 13 H atoms</w:t>
      </w:r>
      <w:r>
        <w:rPr>
          <w:rFonts w:ascii="Calibri" w:hAnsi="Calibri"/>
          <w:sz w:val="22"/>
        </w:rPr>
        <w:br/>
        <w:t>In high-throughput generative pipelines producing millions of candidates, manual curation of missing hydrogens, non-standard residues, or metal coordination centers is unviable. FreeSolvE operates directly on standard PDB/SDF inputs with zero manual intervention, providing instant physical rescue.</w:t>
      </w:r>
    </w:p>
    <w:p>
      <w:pPr>
        <w:pStyle w:val="Heading2"/>
        <w:keepNext/>
        <w:spacing w:before="280" w:after="120"/>
      </w:pPr>
      <w:r>
        <w:rPr>
          <w:b/>
          <w:color w:val="0A9396"/>
          <w:sz w:val="26"/>
        </w:rPr>
        <w:t>4.3 Limitations and Scope</w:t>
      </w:r>
    </w:p>
    <w:p>
      <w:r>
        <w:rPr>
          <w:rFonts w:ascii="Calibri" w:hAnsi="Calibri"/>
          <w:sz w:val="22"/>
        </w:rPr>
        <w:t>To ensure scientific integrity, we explicitly demarcate the boundaries of FreeSolvE:</w:t>
        <w:br/>
        <w:t xml:space="preserve">• </w:t>
      </w:r>
      <w:r>
        <w:rPr>
          <w:rFonts w:ascii="Calibri" w:hAnsi="Calibri"/>
          <w:b/>
          <w:sz w:val="22"/>
        </w:rPr>
        <w:t>No Explicit Bridging Waters</w:t>
      </w:r>
      <w:r>
        <w:rPr>
          <w:rFonts w:ascii="Calibri" w:hAnsi="Calibri"/>
          <w:sz w:val="22"/>
        </w:rPr>
        <w:t>: FreeSolvE uses a mean-field continuum dielectric and SASA cavity model. It does not resolve discrete, structural water molecules that form coordinated hydrogen-bonded water bridges between protein and ligand.</w:t>
        <w:br/>
        <w:t xml:space="preserve">• </w:t>
      </w:r>
      <w:r>
        <w:rPr>
          <w:rFonts w:ascii="Calibri" w:hAnsi="Calibri"/>
          <w:b/>
          <w:sz w:val="22"/>
        </w:rPr>
        <w:t>Torsion-Only Flexibility</w:t>
      </w:r>
      <w:r>
        <w:rPr>
          <w:rFonts w:ascii="Calibri" w:hAnsi="Calibri"/>
          <w:sz w:val="22"/>
        </w:rPr>
        <w:t>: FreeSolvE assumes rigid covalent bond lengths and bond angles. While this guarantees 100% preservation of chemical validity, it cannot model induced-fit scenarios requiring significant valence angle deformation.</w:t>
        <w:br/>
        <w:t xml:space="preserve">• </w:t>
      </w:r>
      <w:r>
        <w:rPr>
          <w:rFonts w:ascii="Calibri" w:hAnsi="Calibri"/>
          <w:b/>
          <w:sz w:val="22"/>
        </w:rPr>
        <w:t>Controlled Training Ablation vs. Foundation Models</w:t>
      </w:r>
      <w:r>
        <w:rPr>
          <w:rFonts w:ascii="Calibri" w:hAnsi="Calibri"/>
          <w:sz w:val="22"/>
        </w:rPr>
        <w:t xml:space="preserve">: The AI training experiment presented here is a controlled ablation demonstrating that </w:t>
      </w:r>
      <w:r>
        <w:rPr>
          <w:rFonts w:ascii="Consolas" w:hAnsi="Consolas"/>
          <w:color w:val="005F73"/>
          <w:sz w:val="20"/>
        </w:rPr>
        <w:t>FreeSolvEPhysicsLoss</w:t>
      </w:r>
      <w:r>
        <w:rPr>
          <w:rFonts w:ascii="Calibri" w:hAnsi="Calibri"/>
          <w:sz w:val="22"/>
        </w:rPr>
        <w:t xml:space="preserve"> supplies the requisite inductive bias to prevent clashes. Pretraining a 100-million parameter diffusion foundation model from scratch remains an exciting future direction for the community.</w:t>
      </w:r>
    </w:p>
    <w:p>
      <w:pPr>
        <w:pStyle w:val="Heading1"/>
        <w:keepNext/>
        <w:spacing w:before="280" w:after="120"/>
      </w:pPr>
      <w:r>
        <w:rPr>
          <w:b/>
          <w:color w:val="005F73"/>
          <w:sz w:val="32"/>
        </w:rPr>
        <w:t>5. Conclusion and Code Availability</w:t>
      </w:r>
    </w:p>
    <w:p>
      <w:r>
        <w:rPr>
          <w:rFonts w:ascii="Calibri" w:hAnsi="Calibri"/>
          <w:sz w:val="22"/>
        </w:rPr>
        <w:t>FreeSolvE bridges the chasm between statistical generative AI and physical reality in biomolecular docking. By leveraging continuum aqueous solvation as an ultra-fast thermodynamic cushion and optimizing poses via differentiable articulated forward kinematics, FreeSolvE resolves the clash crisis of generative biology without the brittle parameterization overhead of classical molecular mechanics.</w:t>
        <w:br/>
        <w:br/>
        <w:t xml:space="preserve">All source code, PyTorch loss layers, benchmark datasets, and evaluation scripts are available open-source under the MIT License at </w:t>
      </w:r>
      <w:r>
        <w:rPr>
          <w:rFonts w:ascii="Calibri" w:hAnsi="Calibri"/>
          <w:b/>
          <w:sz w:val="22"/>
        </w:rPr>
        <w:t>https://github.com/messiay/FreeSolve</w:t>
      </w:r>
      <w:r>
        <w:rPr>
          <w:rFonts w:ascii="Calibri" w:hAnsi="Calibri"/>
          <w:sz w:val="22"/>
        </w:rPr>
        <w:t xml:space="preserve">, and published on PyPI at </w:t>
      </w:r>
      <w:r>
        <w:rPr>
          <w:rFonts w:ascii="Calibri" w:hAnsi="Calibri"/>
          <w:b/>
          <w:sz w:val="22"/>
        </w:rPr>
        <w:t>https://pypi.org/project/freesolve/</w:t>
      </w:r>
      <w:r>
        <w:rPr>
          <w:rFonts w:ascii="Calibri" w:hAnsi="Calibri"/>
          <w:sz w:val="22"/>
        </w:rPr>
        <w:t xml:space="preserve"> (</w:t>
      </w:r>
      <w:r>
        <w:rPr>
          <w:rFonts w:ascii="Consolas" w:hAnsi="Consolas"/>
          <w:color w:val="005F73"/>
          <w:sz w:val="20"/>
        </w:rPr>
        <w:t>pip install freesolve</w:t>
      </w:r>
      <w:r>
        <w:rPr>
          <w:rFonts w:ascii="Calibri" w:hAnsi="Calibri"/>
          <w:sz w:val="22"/>
        </w:rPr>
        <w:t>).</w:t>
      </w:r>
    </w:p>
    <w:p>
      <w:pPr>
        <w:pStyle w:val="Heading1"/>
        <w:keepNext/>
        <w:spacing w:before="280" w:after="120"/>
      </w:pPr>
      <w:r>
        <w:rPr>
          <w:b/>
          <w:color w:val="005F73"/>
          <w:sz w:val="32"/>
        </w:rPr>
        <w:t>References</w:t>
      </w:r>
    </w:p>
    <w:p>
      <w:pPr>
        <w:spacing w:after="80"/>
      </w:pPr>
      <w:r>
        <w:rPr>
          <w:sz w:val="18"/>
        </w:rPr>
        <w:t>Buttenschoen, M., et al. (2024). PoseBusters: AI-based docking methods fail to generate physically valid poses. Chemical Science, 15(8), 3034–3044. DOI: 10.1039/D3SC04185A.</w:t>
      </w:r>
    </w:p>
    <w:p>
      <w:pPr>
        <w:spacing w:after="80"/>
      </w:pPr>
      <w:r>
        <w:rPr>
          <w:sz w:val="18"/>
        </w:rPr>
        <w:t>Corso, G., et al. (2023). DiffDock: Diffusion Steps, Twists, and Turns for Molecular Docking. International Conference on Learning Representations (ICLR).</w:t>
      </w:r>
    </w:p>
    <w:p>
      <w:pPr>
        <w:spacing w:after="80"/>
      </w:pPr>
      <w:r>
        <w:rPr>
          <w:sz w:val="18"/>
        </w:rPr>
        <w:t>Abramson, J., et al. (2024). Accurate structure prediction of biomolecular interactions with AlphaFold 3. Nature, 630, 493–500.</w:t>
      </w:r>
    </w:p>
    <w:p>
      <w:pPr>
        <w:spacing w:after="80"/>
      </w:pPr>
      <w:r>
        <w:rPr>
          <w:sz w:val="18"/>
        </w:rPr>
        <w:t>Mobley, D. L., &amp; Guthrie, J. P. (2014). FreeSolve: a database of experimental and calculated hydration free energies, with input files. Journal of Computer-Aided Molecular Design, 28(7), 711–720.</w:t>
      </w:r>
    </w:p>
    <w:p>
      <w:pPr>
        <w:spacing w:after="80"/>
      </w:pPr>
      <w:r>
        <w:rPr>
          <w:sz w:val="18"/>
        </w:rPr>
        <w:t>Eastman, P., et al. (2017). OpenMM 7: Rapid development of high performance algorithms for molecular dynamics. PLOS Computational Biology, 13(7), e1005659.</w:t>
      </w:r>
    </w:p>
    <w:p>
      <w:pPr>
        <w:spacing w:after="80"/>
      </w:pPr>
      <w:r>
        <w:rPr>
          <w:sz w:val="18"/>
        </w:rPr>
        <w:t>Trott, O., &amp; Olson, A. J. (2010). AutoDock Vina: improving the speed and accuracy of docking with a new scoring function, efficient optimization, and multithreading. Journal of Computational Chemistry, 31(2), 455–461.</w:t>
      </w:r>
    </w:p>
    <w:p>
      <w:pPr>
        <w:spacing w:after="80"/>
      </w:pPr>
      <w:r>
        <w:rPr>
          <w:sz w:val="18"/>
        </w:rPr>
        <w:t>Stark, H., et al. (2022). EquiBind: Geometric Deep Learning for Drug Binding Structure Prediction. International Conference on Machine Learning (ICML).</w:t>
      </w:r>
    </w:p>
    <w:p>
      <w:pPr>
        <w:spacing w:after="80"/>
      </w:pPr>
      <w:r>
        <w:rPr>
          <w:sz w:val="18"/>
        </w:rPr>
        <w:t>Lu, W., et al. (2022). TANKBind: Trigonometry-Aware Neural Networks for Drug-Protein Binding Structure Prediction. bioRxiv.</w:t>
      </w:r>
    </w:p>
    <w:p>
      <w:pPr>
        <w:spacing w:after="80"/>
      </w:pPr>
      <w:r>
        <w:rPr>
          <w:sz w:val="18"/>
        </w:rPr>
        <w:t>Paszke, A., et al. (2019). PyTorch: An imperative style, high-performance deep learning library. Advances in Neural Information Processing Systems (NeurIPS), 32, 8024–8035.</w:t>
      </w:r>
    </w:p>
    <w:p>
      <w:pPr>
        <w:spacing w:after="80"/>
      </w:pPr>
      <w:r>
        <w:rPr>
          <w:sz w:val="18"/>
        </w:rPr>
        <w:t>Case, D. A., et al. (2005). The Amber biomolecular simulation programs. Journal of Computational Chemistry, 26(16), 1668–1688.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