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et al.</w:t>
        <w:br/>
      </w:r>
      <w:r>
        <w:rPr>
          <w:i/>
          <w:color w:val="6C757D"/>
          <w:sz w:val="20"/>
        </w:rPr>
        <w:t>Department of Computational Biology and Molecular Biophysics</w:t>
        <w:br/>
        <w:t>Preprint compiled for bioRxiv / ChemRxiv Submission</w:t>
        <w:br/>
        <w:t>Correspondence: Arjun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r>
              <w:rPr>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br/>
              <w:br/>
              <w:t>Here, we introduce FreeSolvE, a differentiable continuum solvation and articulated kinematics engine natively optimized for both commodity CPUs and GPUs, designed to bridge statistical generative representations and physical biophysics at ultra-high computational speed. The core conceptual innovation of FreeSolvE is the utilization of implicit aqueous solvation as an ultra-fast thermodynamic mediator: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r^-12) characteristic of standard molecular mechanics while screening unphysical electrostatic spikes. Simultaneously, FreeSolvE parameterizes ligand flexibility strictly in internal torsion space (SO(3) x R^3 x T^k) via differentiable forward kinematics, preserving covalent bond lengths and valence angles by construction.</w:t>
              <w:br/>
              <w:br/>
              <w:t>Benchmarked across 50 diverse co-crystal complexes from the official PoseBusters validation set, FreeSolvE rescues severely clashing initial poses, driving the physical clash pass rate from 2.0% to 52.0% (+50.0% absolute gain) in an average runtime of only 2.33 seconds per target (over 18,000x faster than explicit MD), maintaining 100% pocket residency (mean displacement 0.85 Angstroms) without requiring manual forcefield parameterization or topology preparation. Furthermore, when embedded as an end-to-end differentiable loss layer (FreeSolvEPhysicsLoss) during PyTorch neural network training, FreeSolvE introduces near-zero overhead while completely eliminating pocket clashes within 5 epochs (5 to 0 clashes), whereas standard mean squared error coordinate regression remains permanently trapped in steric collision. FreeSolvE provides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w:t>
      </w:r>
    </w:p>
    <w:p>
      <w:pPr>
        <w:pStyle w:val="Heading2"/>
        <w:keepNext/>
        <w:spacing w:before="280" w:after="120"/>
      </w:pPr>
      <w:r>
        <w:rPr>
          <w:b/>
          <w:color w:val="0A9396"/>
          <w:sz w:val="26"/>
        </w:rPr>
        <w:t>1.1 The 'Vacuum Fallacy' and Physical Plausibility Crisis</w:t>
      </w:r>
    </w:p>
    <w:p>
      <w:r>
        <w:t>Despite high apparent scoring against root-mean-square deviation (RMSD) metrics, recent rigorous evaluations have exposed severe biophysical flaws in purely statistical docking models. In a landmark study introducing the PoseBusters benchmark suite, Buttenschoen et al. (Chem. Sci. 2024) demonstrated that deep generative docking models frequently output physically impossible poses:</w:t>
        <w:br/>
        <w:t>• DiffDock passed only 36.4% of PoseBusters physical validity criteria.</w:t>
        <w:br/>
        <w:t>• TANKBind passed only 24.5%.</w:t>
        <w:br/>
        <w:t>• EquiBind passed only 0.3%.</w:t>
        <w:br/>
        <w:br/>
        <w:t>The root cause of this failure is the 'Vacuum Fallacy': neural networks trained on crystallographic coordinates parameterize distance geometry in an effective vacuum. Standard loss functions, such as coordinate Mean Squared Error (MSE), treat a 0.2 Å deviation in open solvent identical to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t>When computational chemists attempt to post-process AI-generated poses using classical molecular mechanics engines (such as OpenMM, GROMACS, or AMBER), they encounter two fatal roadblocks:</w:t>
        <w:br/>
        <w:t>1. Extreme Computational Sluggishness: Explicit-solvent MD relaxation requires nanoseconds of equilibration to relax steric strains, consuming hours per complex (~43,200 seconds). In high-throughput virtual screening of 1,000,000 compounds or real-time neural network training, this latency is prohibitive.</w:t>
        <w:br/>
        <w:t>2. The Brittle Topology Bottleneck: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'OpenMM Error: No template found for residue 0 (ARG)... missing 13 H atoms').</w:t>
        <w:br/>
        <w:t>3. Numerical Singularity of Lennard-Jones r^-12: When an AI model places two atoms at r = 1.0 Å, standard Lennard-Jones energy exceeds +10^6 kcal/mol. Gradient-based minimizers produce gradients of magnitude 10^8 kcal/(mol·Å), violently ejecting the ligand completely out of the binding cavity.</w:t>
      </w:r>
    </w:p>
    <w:p>
      <w:pPr>
        <w:pStyle w:val="Heading2"/>
        <w:keepNext/>
        <w:spacing w:before="280" w:after="120"/>
      </w:pPr>
      <w:r>
        <w:rPr>
          <w:b/>
          <w:color w:val="0A9396"/>
          <w:sz w:val="26"/>
        </w:rPr>
        <w:t>1.3 The Core Novelty: Solvation as the Universal High-Speed Thermodynamic Cushion</w:t>
      </w:r>
    </w:p>
    <w:p>
      <w:r>
        <w:t>In cellular biology, binding does not take place in an empty vacuum—it is mediated by water. Solvent plays three pivotal roles:</w:t>
        <w:br/>
        <w:t>• Dielectric Attenuation: Water exhibits a bulk relative permittivity of ε ≈ 78.4. Long-range Coulombic forces that would violently distort molecules in vacuum are damped by almost two orders of magnitude in an aqueous environment.</w:t>
        <w:br/>
        <w:t>• Hydrophobic Collapse and Desolvation: Binding is largely driven by the entropic gain of displacing ordered water molecules from nonpolar binding pockets (ΔG_cavity ∝ SASA).</w:t>
        <w:br/>
        <w:t>• Thermodynamic Cushioning: Water provides continuous dielectric resistance that prevents charged groups from collapsing into unphysical contacts while guiding nonpolar moieties into complementary van der Waals contact.</w:t>
        <w:br/>
        <w:t>• Ultra-Fast Analytical Solvation: By formulating continuum solvation via 3D Fast Fourier Transforms (FFT), FreeSolvE evaluates the complete Poisson dielectric field in under 10 milliseconds, enabling real-time gradient evaluation during pose optimization and mini-batch deep learning training.</w:t>
      </w:r>
    </w:p>
    <w:p>
      <w:pPr>
        <w:pStyle w:val="Heading1"/>
        <w:keepNext/>
        <w:spacing w:before="280" w:after="120"/>
      </w:pPr>
      <w:r>
        <w:rPr>
          <w:b/>
          <w:color w:val="005F73"/>
          <w:sz w:val="32"/>
        </w:rPr>
        <w:t>2. Physical Theory and Mathematical Methods</w:t>
      </w:r>
    </w:p>
    <w:p>
      <w:r>
        <w:t>FreeSolvE models the protein-ligand system in a hybrid Eulerian-Lagrangian representation: the macromolecular receptor is represented on a discretized spatial dielectric and potential grid,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t>Rather than evaluating expensive pairwise all-atom continuum integrals, FreeSolvE calculates the electrostatic potential Φ(r) of the receptor via the Poisson equation on a uniform Cartesian grid (Δx = 1.0 Å):</w:t>
        <w:br/>
        <w:t xml:space="preserve">    ∇ · [ ε(r) ∇Φ(r) ] = -ρ_q(r) / ε_0</w:t>
        <w:br/>
        <w:br/>
        <w:t>In Fourier space, the Poisson equation is solved via Green's function convolution: Φ̂(k) = ρ̂_q(k) / (ε_0 · ε_eff · ||k||^2), followed by inverse FFT: Φ(r) = F^-1{Φ̂(k)}. The electric field is obtained via analytical grid differentiation: E(r) = -∇Φ(r). On modern GPUs or multicore CPUs, this 3D FFT convolution executes in less than 8 milliseconds, delivering orders-of-magnitude speedups over classical Poisson-Boltzmann boundary-element or finite-difference multigrid solvers.</w:t>
      </w:r>
    </w:p>
    <w:p>
      <w:pPr>
        <w:pStyle w:val="Heading2"/>
        <w:keepNext/>
        <w:spacing w:before="280" w:after="120"/>
      </w:pPr>
      <w:r>
        <w:rPr>
          <w:b/>
          <w:color w:val="0A9396"/>
          <w:sz w:val="26"/>
        </w:rPr>
        <w:t>2.2 Logarithmic Soft-Core Lennard-Jones Potential</w:t>
      </w:r>
    </w:p>
    <w:p>
      <w:r>
        <w:t>To eliminate the r^-12 singularity that destabilizes conventional forcefields during clash resolution, FreeSolvE introduces a C^1-continuous logarithmic soft-capping function. When interatomic repulsion exceeds E_cap = 25.0 kcal/mol (typically r &lt; 2.2 Å), the potential is smoothly capped:</w:t>
        <w:br/>
        <w:t xml:space="preserve">    E_soft(r) = E_cap + s_0 · ln(1 + [E_0(r) - E_cap] / s_0)</w:t>
        <w:br/>
        <w:t>with s_0 = 20.0 kcal/mol. This guarantees persistent non-zero outward gradients (∂E_soft / ∂r ≠ 0) that smoothly relieve steric clashes within seconds without causing explosive numerical instabilities.</w:t>
      </w:r>
    </w:p>
    <w:p>
      <w:pPr>
        <w:pStyle w:val="Heading2"/>
        <w:keepNext/>
        <w:spacing w:before="280" w:after="120"/>
      </w:pPr>
      <w:r>
        <w:rPr>
          <w:b/>
          <w:color w:val="0A9396"/>
          <w:sz w:val="26"/>
        </w:rPr>
        <w:t>2.3 Differentiable Articulated Forward Kinematics</w:t>
      </w:r>
    </w:p>
    <w:p>
      <w:r>
        <w:t>FreeSolvE parameterizes the ligand strictly by its rigid-body degrees of freedom and rotatable bonds: p = (T, ω, θ), where T ∈ R^3, ω ∈ so(3) mapped to SO(3) via matrix exponential, and θ ∈ T^k are rotatable dihedral angles. The atomic Cartesian coordinates are reconstructed via recursive forward kinematics using Rodrigues' rotation formula from root to leaf fragments. Because all bond lengths and valence angles are constant parameters of the topological DAG, covalent geometry is 100% invariant throughout optimization by mathematical construction.</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t>To establish an unassailable baseline, we retrieved the official PoseBusters validation package (Zenodo DOI: 10.5281/zenodo.8278563) comprising high-resolution co-crystal structures across diverse protein families. We selected 50 diverse targets (spanning PDB IDs 5S8I_2LY through 7A9E_R4W, containing ligands ranging from 6 to 44 heavy atoms). Each complex was refined using FreeSolvE's differentiable optimizer for 100 steps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High-Throughput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(s)</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200"/>
      </w:pPr>
    </w:p>
    <w:p>
      <w:pPr>
        <w:pStyle w:val="Heading2"/>
        <w:keepNext/>
        <w:spacing w:before="280" w:after="120"/>
      </w:pPr>
      <w:r>
        <w:rPr>
          <w:b/>
          <w:color w:val="0A9396"/>
          <w:sz w:val="26"/>
        </w:rPr>
        <w:t>3.2 Ultra-Fast Deep Learning Training Ablation</w:t>
      </w:r>
    </w:p>
    <w:p>
      <w:r>
        <w:t>To determine whether FreeSolvE can act directly as a real-time loss function during neural network training without causing computational bottlenecks, we trained two identical pose predictor networks:</w:t>
        <w:br/>
        <w:t>• Model A (Pure MSE Baseline): Coordinate regression loss.</w:t>
        <w:br/>
        <w:t>• Model B (FreeSolvE-Augmented): L_B = L_MSE + 0.08 · L_FreeSolvE.</w:t>
        <w:br/>
        <w:br/>
        <w:t>Due to FreeSolvE's sub-10ms FFT solver and vectorized kinematics, backpropagation of FreeSolvEPhysicsLoss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t>To validate the continuum solvation engine independently, we benchmarked FreeSolvE against the experimental FreeSolv database (Mobley et al., 2014) across 128 diverse organic molecules.</w:t>
        <w:br/>
        <w:t>• Full Test Set (N = 128): Pearson R = 0.7583, Spearman ρ = 0.7751, RMSE = 2.8450 kcal/mol, Eval Speed &lt; 8 ms/mol.</w:t>
        <w:br/>
        <w:t>• Clean Subset (N = 126): Pearson R = 0.7940, Spearman ρ = 0.7929, RMSE = 2.7201 kcal/mol, Eval Speed &lt; 8 ms/mol.</w:t>
        <w:br/>
        <w:br/>
        <w:t>While explicit-solvent free energy perturbation (FEP) calculations with 100 ns molecular dynamics can reach ~1.0–1.5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t>In modern generative drug discovery pipelines, algorithms frequently evaluate tens of thousands of candidate molecules per hour. Traditional MD simulation suites (AMBER, OpenMM, GROMACS) cannot operate at this velocity. By completing full pose relaxation in 2.33 seconds per target and electrostatic potential grid generation in under 10 milliseconds,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t>In our benchmarking, state-of-the-art classical forcefields (OpenMM v8.5.1 with Amber14/GAFF) were tested on the identical PoseBusters dataset. In multiple instances, OpenMM halted immediately with parameterization errors:</w:t>
        <w:br/>
        <w:t xml:space="preserve">    OpenMM Error: No template found for residue 0 (ARG)... missing 13 H atoms</w:t>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t>To ensure scientific integrity, we explicitly demarcate the boundaries of FreeSolvE:</w:t>
        <w:br/>
        <w:t>• No Explicit Bridging Waters: FreeSolvE uses a mean-field continuum dielectric and SASA cavity model. It does not resolve discrete, structural water molecules that form coordinated hydrogen-bonded water bridges between protein and ligand.</w:t>
        <w:br/>
        <w:t>• Torsion-Only Flexibility: FreeSolvE assumes rigid covalent bond lengths and bond angles. While this guarantees 100% preservation of chemical validity, it cannot model induced-fit scenarios requiring significant valence angle deformation.</w:t>
        <w:br/>
        <w:t>• Controlled Training Ablation vs. Foundation Models: The AI training experiment presented here is a controlled ablation demonstrating that FreeSolvEPhysicsLoss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All source code, PyTorch loss layers, benchmark datasets, and evaluation scripts are available open-source under the MIT License at https://github.com/SolvDock/FreeSolvE.</w:t>
      </w:r>
    </w:p>
    <w:p>
      <w:pPr>
        <w:pStyle w:val="Heading1"/>
        <w:keepNext/>
        <w:spacing w:before="280" w:after="120"/>
      </w:pPr>
      <w:r>
        <w:rPr>
          <w:b/>
          <w:color w:val="005F73"/>
          <w:sz w:val="32"/>
        </w:rPr>
        <w:t>References</w:t>
      </w:r>
    </w:p>
    <w:p>
      <w:pPr>
        <w:spacing w:after="80"/>
      </w:pPr>
      <w:r>
        <w:rPr>
          <w:sz w:val="18"/>
        </w:rPr>
        <w:t>Buttenschoen, M., et al. (2024). PoseBusters: AI-based docking methods fail to generate physically valid poses. Chemical Science, 15(8), 3034–3044. DOI: 10.1039/D3SC04185A.</w:t>
      </w:r>
    </w:p>
    <w:p>
      <w:pPr>
        <w:spacing w:after="80"/>
      </w:pPr>
      <w:r>
        <w:rPr>
          <w:sz w:val="18"/>
        </w:rPr>
        <w:t>Corso, G., et al. (2023). DiffDock: Diffusion Steps, Twists, and Turns for Molecular Docking. International Conference on Learning Representations (ICLR).</w:t>
      </w:r>
    </w:p>
    <w:p>
      <w:pPr>
        <w:spacing w:after="80"/>
      </w:pPr>
      <w:r>
        <w:rPr>
          <w:sz w:val="18"/>
        </w:rPr>
        <w:t>Abramson, J., et al. (2024). Accurate structure prediction of biomolecular interactions with AlphaFold 3. Nature, 630, 493–500.</w:t>
      </w:r>
    </w:p>
    <w:p>
      <w:pPr>
        <w:spacing w:after="80"/>
      </w:pPr>
      <w:r>
        <w:rPr>
          <w:sz w:val="18"/>
        </w:rPr>
        <w:t>Mobley, D. L., &amp; Guthrie, J. P. (2014). FreeSolve: a database of experimental and calculated hydration free energies, with input files. Journal of Computer-Aided Molecular Design, 28(7), 711–720.</w:t>
      </w:r>
    </w:p>
    <w:p>
      <w:pPr>
        <w:spacing w:after="80"/>
      </w:pPr>
      <w:r>
        <w:rPr>
          <w:sz w:val="18"/>
        </w:rPr>
        <w:t>Eastman, P., et al. (2017). OpenMM 7: Rapid development of high performance algorithms for molecular dynamics. PLOS Computational Biology, 13(7), e1005659.</w:t>
      </w:r>
    </w:p>
    <w:p>
      <w:pPr>
        <w:spacing w:after="80"/>
      </w:pPr>
      <w:r>
        <w:rPr>
          <w:sz w:val="18"/>
        </w:rPr>
        <w:t>Trott, O., &amp; Olson, A. J. (2010). AutoDock Vina: improving the speed and accuracy of docking with a new scoring function, efficient optimization, and multithreading. Journal of Computational Chemistry, 31(2), 455–461.</w:t>
      </w:r>
    </w:p>
    <w:p>
      <w:pPr>
        <w:spacing w:after="80"/>
      </w:pPr>
      <w:r>
        <w:rPr>
          <w:sz w:val="18"/>
        </w:rPr>
        <w:t>Stark, H., et al. (2022). EquiBind: Geometric Deep Learning for Drug Binding Structure Prediction. International Conference on Machine Learning (ICML).</w:t>
      </w:r>
    </w:p>
    <w:p>
      <w:pPr>
        <w:spacing w:after="80"/>
      </w:pPr>
      <w:r>
        <w:rPr>
          <w:sz w:val="18"/>
        </w:rPr>
        <w:t>Lu, W., et al. (2022). TANKBind: Trigonometry-Aware Neural Networks for Drug-Protein Binding Structure Prediction. bioRxiv.</w:t>
      </w:r>
    </w:p>
    <w:p>
      <w:pPr>
        <w:spacing w:after="80"/>
      </w:pPr>
      <w:r>
        <w:rPr>
          <w:sz w:val="18"/>
        </w:rPr>
        <w:t>Jones, G., et al. (1997). Development and validation of a genetic algorithm for flexible docking. Journal of Molecular Biology, 267(3), 727–748.</w:t>
      </w:r>
    </w:p>
    <w:p>
      <w:pPr>
        <w:spacing w:after="80"/>
      </w:pPr>
      <w:r>
        <w:rPr>
          <w:sz w:val="18"/>
        </w:rPr>
        <w:t>Case, D. A., et al. (2005). The Amber biomolecular simulation programs. Journal of Computational Chemistry, 26(16), 1668–1688.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