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80"/>
        <w:jc w:val="center"/>
      </w:pPr>
      <w:r>
        <w:rPr>
          <w:rFonts w:ascii="Arial" w:cs="Arial" w:eastAsia="Arial" w:hAnsi="Arial"/>
          <w:b/>
          <w:bCs/>
          <w:color w:val="003B7A"/>
          <w:sz w:val="72"/>
          <w:szCs w:val="72"/>
        </w:rPr>
        <w:t xml:space="preserve">PRODIPHARM</w:t>
      </w:r>
    </w:p>
    <w:p>
      <w:pPr>
        <w:spacing w:before="0" w:after="160"/>
        <w:jc w:val="center"/>
      </w:pPr>
      <w:r>
        <w:rPr>
          <w:rFonts w:ascii="Arial" w:cs="Arial" w:eastAsia="Arial" w:hAnsi="Arial"/>
          <w:i/>
          <w:iCs/>
          <w:color w:val="6B7280"/>
          <w:sz w:val="28"/>
          <w:szCs w:val="28"/>
        </w:rPr>
        <w:t xml:space="preserve">Pan-African Pharma Leader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320"/>
              <w:left w:type="dxa" w:w="480"/>
              <w:bottom w:type="dxa" w:w="320"/>
              <w:right w:type="dxa" w:w="480"/>
            </w:tcMar>
          </w:tcPr>
          <w:p>
            <w:pPr>
              <w:jc w:val="center"/>
            </w:pPr>
            <w:r>
              <w:rPr>
                <w:rFonts w:ascii="Arial" w:cs="Arial" w:eastAsia="Arial" w:hAnsi="Arial"/>
                <w:b/>
                <w:bCs/>
                <w:color w:val="FFFFFF"/>
                <w:sz w:val="52"/>
                <w:szCs w:val="52"/>
              </w:rPr>
              <w:t xml:space="preserve">CAHIER DES CHARGES</w:t>
            </w:r>
          </w:p>
          <w:p>
            <w:pPr>
              <w:spacing w:before="100"/>
              <w:jc w:val="center"/>
            </w:pPr>
            <w:r>
              <w:rPr>
                <w:rFonts w:ascii="Arial" w:cs="Arial" w:eastAsia="Arial" w:hAnsi="Arial"/>
                <w:color w:val="E8F0FA"/>
                <w:sz w:val="32"/>
                <w:szCs w:val="32"/>
              </w:rPr>
              <w:t xml:space="preserve">Plateforme SaaS — Gestion des Délégués Médicaux</w:t>
            </w:r>
          </w:p>
        </w:tc>
      </w:tr>
    </w:tbl>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DBEAFE" w:sz="1"/>
              <w:left w:val="single" w:color="DBEAFE" w:sz="1"/>
              <w:bottom w:val="single" w:color="DBEAFE" w:sz="1"/>
              <w:right w:val="single" w:color="DBEAFE" w:sz="1"/>
            </w:tcBorders>
            <w:shd w:fill="F2F4F8" w:val="clear"/>
            <w:tcMar>
              <w:top w:type="dxa" w:w="120"/>
              <w:left w:type="dxa" w:w="200"/>
              <w:bottom w:type="dxa" w:w="120"/>
              <w:right w:type="dxa" w:w="200"/>
            </w:tcMar>
          </w:tcPr>
          <w:p>
            <w:r>
              <w:rPr>
                <w:rFonts w:ascii="Arial" w:cs="Arial" w:eastAsia="Arial" w:hAnsi="Arial"/>
                <w:b/>
                <w:bCs/>
                <w:color w:val="003B7A"/>
                <w:sz w:val="22"/>
                <w:szCs w:val="22"/>
              </w:rPr>
              <w:t xml:space="preserve">Version</w:t>
            </w:r>
          </w:p>
          <w:p>
            <w:r>
              <w:rPr>
                <w:rFonts w:ascii="Arial" w:cs="Arial" w:eastAsia="Arial" w:hAnsi="Arial"/>
                <w:color w:val="1A1A2E"/>
                <w:sz w:val="22"/>
                <w:szCs w:val="22"/>
              </w:rPr>
              <w:t xml:space="preserve">1.0 — Initial</w:t>
            </w:r>
          </w:p>
        </w:tc>
        <w:tc>
          <w:tcPr>
            <w:tcW w:type="dxa" w:w="4613"/>
            <w:tcBorders>
              <w:top w:val="single" w:color="DBEAFE" w:sz="1"/>
              <w:left w:val="single" w:color="DBEAFE" w:sz="1"/>
              <w:bottom w:val="single" w:color="DBEAFE" w:sz="1"/>
              <w:right w:val="single" w:color="DBEAFE" w:sz="1"/>
            </w:tcBorders>
            <w:shd w:fill="F2F4F8" w:val="clear"/>
            <w:tcMar>
              <w:top w:type="dxa" w:w="120"/>
              <w:left w:type="dxa" w:w="200"/>
              <w:bottom w:type="dxa" w:w="120"/>
              <w:right w:type="dxa" w:w="200"/>
            </w:tcMar>
          </w:tcPr>
          <w:p>
            <w:r>
              <w:rPr>
                <w:rFonts w:ascii="Arial" w:cs="Arial" w:eastAsia="Arial" w:hAnsi="Arial"/>
                <w:b/>
                <w:bCs/>
                <w:color w:val="003B7A"/>
                <w:sz w:val="22"/>
                <w:szCs w:val="22"/>
              </w:rPr>
              <w:t xml:space="preserve">Date</w:t>
            </w:r>
          </w:p>
          <w:p>
            <w:r>
              <w:rPr>
                <w:rFonts w:ascii="Arial" w:cs="Arial" w:eastAsia="Arial" w:hAnsi="Arial"/>
                <w:color w:val="1A1A2E"/>
                <w:sz w:val="22"/>
                <w:szCs w:val="22"/>
              </w:rPr>
              <w:t xml:space="preserve">Juin 2025</w:t>
            </w:r>
          </w:p>
        </w:tc>
      </w:tr>
      <w:tr>
        <w:tc>
          <w:tcPr>
            <w:tcW w:type="dxa" w:w="4413"/>
            <w:tcBorders>
              <w:top w:val="single" w:color="DBEAFE" w:sz="1"/>
              <w:left w:val="single" w:color="DBEAFE" w:sz="1"/>
              <w:bottom w:val="single" w:color="DBEAFE" w:sz="1"/>
              <w:right w:val="single" w:color="DBEAFE" w:sz="1"/>
            </w:tcBorders>
            <w:shd w:fill="FFFFFF" w:val="clear"/>
            <w:tcMar>
              <w:top w:type="dxa" w:w="120"/>
              <w:left w:type="dxa" w:w="200"/>
              <w:bottom w:type="dxa" w:w="120"/>
              <w:right w:type="dxa" w:w="200"/>
            </w:tcMar>
          </w:tcPr>
          <w:p>
            <w:r>
              <w:rPr>
                <w:rFonts w:ascii="Arial" w:cs="Arial" w:eastAsia="Arial" w:hAnsi="Arial"/>
                <w:b/>
                <w:bCs/>
                <w:color w:val="003B7A"/>
                <w:sz w:val="22"/>
                <w:szCs w:val="22"/>
              </w:rPr>
              <w:t xml:space="preserve">Statut</w:t>
            </w:r>
          </w:p>
          <w:p>
            <w:r>
              <w:rPr>
                <w:rFonts w:ascii="Arial" w:cs="Arial" w:eastAsia="Arial" w:hAnsi="Arial"/>
                <w:color w:val="1A1A2E"/>
                <w:sz w:val="22"/>
                <w:szCs w:val="22"/>
              </w:rPr>
              <w:t xml:space="preserve">Confidentiel — Usage Interne</w:t>
            </w:r>
          </w:p>
        </w:tc>
        <w:tc>
          <w:tcPr>
            <w:tcW w:type="dxa" w:w="4613"/>
            <w:tcBorders>
              <w:top w:val="single" w:color="DBEAFE" w:sz="1"/>
              <w:left w:val="single" w:color="DBEAFE" w:sz="1"/>
              <w:bottom w:val="single" w:color="DBEAFE" w:sz="1"/>
              <w:right w:val="single" w:color="DBEAFE" w:sz="1"/>
            </w:tcBorders>
            <w:shd w:fill="FFFFFF" w:val="clear"/>
            <w:tcMar>
              <w:top w:type="dxa" w:w="120"/>
              <w:left w:type="dxa" w:w="200"/>
              <w:bottom w:type="dxa" w:w="120"/>
              <w:right w:type="dxa" w:w="200"/>
            </w:tcMar>
          </w:tcPr>
          <w:p>
            <w:r>
              <w:rPr>
                <w:rFonts w:ascii="Arial" w:cs="Arial" w:eastAsia="Arial" w:hAnsi="Arial"/>
                <w:b/>
                <w:bCs/>
                <w:color w:val="003B7A"/>
                <w:sz w:val="22"/>
                <w:szCs w:val="22"/>
              </w:rPr>
              <w:t xml:space="preserve">Commanditaire</w:t>
            </w:r>
          </w:p>
          <w:p>
            <w:r>
              <w:rPr>
                <w:rFonts w:ascii="Arial" w:cs="Arial" w:eastAsia="Arial" w:hAnsi="Arial"/>
                <w:color w:val="1A1A2E"/>
                <w:sz w:val="22"/>
                <w:szCs w:val="22"/>
              </w:rPr>
              <w:t xml:space="preserve">Direction Générale, Prodipharm</w:t>
            </w:r>
          </w:p>
        </w:tc>
      </w:tr>
      <w:tr>
        <w:tc>
          <w:tcPr>
            <w:tcW w:type="dxa" w:w="4413"/>
            <w:tcBorders>
              <w:top w:val="single" w:color="DBEAFE" w:sz="1"/>
              <w:left w:val="single" w:color="DBEAFE" w:sz="1"/>
              <w:bottom w:val="single" w:color="DBEAFE" w:sz="1"/>
              <w:right w:val="single" w:color="DBEAFE" w:sz="1"/>
            </w:tcBorders>
            <w:shd w:fill="F2F4F8" w:val="clear"/>
            <w:tcMar>
              <w:top w:type="dxa" w:w="120"/>
              <w:left w:type="dxa" w:w="200"/>
              <w:bottom w:type="dxa" w:w="120"/>
              <w:right w:type="dxa" w:w="200"/>
            </w:tcMar>
          </w:tcPr>
          <w:p>
            <w:r>
              <w:rPr>
                <w:rFonts w:ascii="Arial" w:cs="Arial" w:eastAsia="Arial" w:hAnsi="Arial"/>
                <w:b/>
                <w:bCs/>
                <w:color w:val="003B7A"/>
                <w:sz w:val="22"/>
                <w:szCs w:val="22"/>
              </w:rPr>
              <w:t xml:space="preserve">Valorisation</w:t>
            </w:r>
          </w:p>
          <w:p>
            <w:r>
              <w:rPr>
                <w:rFonts w:ascii="Arial" w:cs="Arial" w:eastAsia="Arial" w:hAnsi="Arial"/>
                <w:color w:val="1A1A2E"/>
                <w:sz w:val="22"/>
                <w:szCs w:val="22"/>
              </w:rPr>
              <w:t xml:space="preserve">+1 milliard USD</w:t>
            </w:r>
          </w:p>
        </w:tc>
        <w:tc>
          <w:tcPr>
            <w:tcW w:type="dxa" w:w="4613"/>
            <w:tcBorders>
              <w:top w:val="single" w:color="DBEAFE" w:sz="1"/>
              <w:left w:val="single" w:color="DBEAFE" w:sz="1"/>
              <w:bottom w:val="single" w:color="DBEAFE" w:sz="1"/>
              <w:right w:val="single" w:color="DBEAFE" w:sz="1"/>
            </w:tcBorders>
            <w:shd w:fill="F2F4F8" w:val="clear"/>
            <w:tcMar>
              <w:top w:type="dxa" w:w="120"/>
              <w:left w:type="dxa" w:w="200"/>
              <w:bottom w:type="dxa" w:w="120"/>
              <w:right w:type="dxa" w:w="200"/>
            </w:tcMar>
          </w:tcPr>
          <w:p>
            <w:r>
              <w:rPr>
                <w:rFonts w:ascii="Arial" w:cs="Arial" w:eastAsia="Arial" w:hAnsi="Arial"/>
                <w:b/>
                <w:bCs/>
                <w:color w:val="003B7A"/>
                <w:sz w:val="22"/>
                <w:szCs w:val="22"/>
              </w:rPr>
              <w:t xml:space="preserve">Couverture géographique</w:t>
            </w:r>
          </w:p>
          <w:p>
            <w:r>
              <w:rPr>
                <w:rFonts w:ascii="Arial" w:cs="Arial" w:eastAsia="Arial" w:hAnsi="Arial"/>
                <w:color w:val="1A1A2E"/>
                <w:sz w:val="22"/>
                <w:szCs w:val="22"/>
              </w:rPr>
              <w:t xml:space="preserve">Multi-pays Afrique (Francophone &amp; Anglophone)</w:t>
            </w:r>
          </w:p>
        </w:tc>
      </w:tr>
    </w:tbl>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1. CONTEXTE ET VISION STRATÉGIQUE</w:t>
            </w:r>
          </w:p>
        </w:tc>
      </w:tr>
    </w:tbl>
    <w:p>
      <w:pPr>
        <w:spacing w:before="80" w:after="0"/>
      </w:pPr>
    </w:p>
    <w:p>
      <w:pPr>
        <w:pStyle w:val="Heading2"/>
        <w:spacing w:before="360" w:after="160"/>
      </w:pPr>
      <w:r>
        <w:rPr>
          <w:rFonts w:ascii="Arial" w:cs="Arial" w:eastAsia="Arial" w:hAnsi="Arial"/>
          <w:b/>
          <w:bCs/>
          <w:color w:val="0072CE"/>
          <w:sz w:val="28"/>
          <w:szCs w:val="28"/>
        </w:rPr>
        <w:t xml:space="preserve">1.1 Présentation de Prodipharm</w:t>
      </w:r>
    </w:p>
    <w:p>
      <w:pPr>
        <w:spacing w:before="80" w:after="120"/>
      </w:pPr>
      <w:r>
        <w:rPr>
          <w:rFonts w:ascii="Arial" w:cs="Arial" w:eastAsia="Arial" w:hAnsi="Arial"/>
          <w:color w:val="1A1A2E"/>
          <w:sz w:val="22"/>
          <w:szCs w:val="22"/>
        </w:rPr>
        <w:t xml:space="preserve">Prodipharm est une entreprise pharmaceutique panafricaine valorisée à plus d'un milliard de dollars (USD), opérant dans plusieurs pays d'Afrique francophone et anglophone. Son réseau commercial repose sur des centaines de délégués médicaux (DM) déployés sur le terrain pour promouvoir les produits auprès des professionnels de santé (médecins, pharmaciens, hôpitaux, cliniques).</w:t>
      </w:r>
    </w:p>
    <w:p>
      <w:pPr>
        <w:spacing w:before="80" w:after="120"/>
      </w:pPr>
      <w:r>
        <w:rPr>
          <w:rFonts w:ascii="Arial" w:cs="Arial" w:eastAsia="Arial" w:hAnsi="Arial"/>
          <w:color w:val="1A1A2E"/>
          <w:sz w:val="22"/>
          <w:szCs w:val="22"/>
        </w:rPr>
        <w:t xml:space="preserve">La croissance rapide du groupe, combinée à la dispersion géographique des équipes, rend impérative la mise en place d'une solution technologique centralisée, moderne et performante pour piloter, coordonner et optimiser les opérations terrain.</w:t>
      </w:r>
    </w:p>
    <w:p>
      <w:pPr>
        <w:spacing w:before="80" w:after="0"/>
      </w:pPr>
    </w:p>
    <w:p>
      <w:pPr>
        <w:pStyle w:val="Heading2"/>
        <w:spacing w:before="360" w:after="160"/>
      </w:pPr>
      <w:r>
        <w:rPr>
          <w:rFonts w:ascii="Arial" w:cs="Arial" w:eastAsia="Arial" w:hAnsi="Arial"/>
          <w:b/>
          <w:bCs/>
          <w:color w:val="0072CE"/>
          <w:sz w:val="28"/>
          <w:szCs w:val="28"/>
        </w:rPr>
        <w:t xml:space="preserve">1.2 Problématique</w:t>
      </w:r>
    </w:p>
    <w:p>
      <w:pPr>
        <w:spacing w:before="80" w:after="120"/>
      </w:pPr>
      <w:r>
        <w:rPr>
          <w:rFonts w:ascii="Arial" w:cs="Arial" w:eastAsia="Arial" w:hAnsi="Arial"/>
          <w:color w:val="1A1A2E"/>
          <w:sz w:val="22"/>
          <w:szCs w:val="22"/>
        </w:rPr>
        <w:t xml:space="preserve">Aujourd'hui, Prodipharm fait face aux défis suivants :</w:t>
      </w:r>
    </w:p>
    <w:p>
      <w:pPr>
        <w:pStyle w:val="ListParagraph"/>
        <w:numPr>
          <w:ilvl w:val="0"/>
          <w:numId w:val="2"/>
        </w:numPr>
        <w:spacing w:before="60" w:after="60"/>
      </w:pPr>
      <w:r>
        <w:rPr>
          <w:rFonts w:ascii="Arial" w:cs="Arial" w:eastAsia="Arial" w:hAnsi="Arial"/>
          <w:color w:val="1A1A2E"/>
          <w:sz w:val="22"/>
          <w:szCs w:val="22"/>
        </w:rPr>
        <w:t xml:space="preserve">Absence de visibilité en temps réel sur les activités et déplacements des délégués médicaux sur le terrain.</w:t>
      </w:r>
    </w:p>
    <w:p>
      <w:pPr>
        <w:pStyle w:val="ListParagraph"/>
        <w:numPr>
          <w:ilvl w:val="0"/>
          <w:numId w:val="2"/>
        </w:numPr>
        <w:spacing w:before="60" w:after="60"/>
      </w:pPr>
      <w:r>
        <w:rPr>
          <w:rFonts w:ascii="Arial" w:cs="Arial" w:eastAsia="Arial" w:hAnsi="Arial"/>
          <w:color w:val="1A1A2E"/>
          <w:sz w:val="22"/>
          <w:szCs w:val="22"/>
        </w:rPr>
        <w:t xml:space="preserve">Difficultés de coordination entre les délégués, leurs superviseurs, le marketing et la comptabilité.</w:t>
      </w:r>
    </w:p>
    <w:p>
      <w:pPr>
        <w:pStyle w:val="ListParagraph"/>
        <w:numPr>
          <w:ilvl w:val="0"/>
          <w:numId w:val="2"/>
        </w:numPr>
        <w:spacing w:before="60" w:after="60"/>
      </w:pPr>
      <w:r>
        <w:rPr>
          <w:rFonts w:ascii="Arial" w:cs="Arial" w:eastAsia="Arial" w:hAnsi="Arial"/>
          <w:color w:val="1A1A2E"/>
          <w:sz w:val="22"/>
          <w:szCs w:val="22"/>
        </w:rPr>
        <w:t xml:space="preserve">Reporting manuel, fragmenté et sujet aux erreurs, entraînant des délais dans la prise de décision.</w:t>
      </w:r>
    </w:p>
    <w:p>
      <w:pPr>
        <w:pStyle w:val="ListParagraph"/>
        <w:numPr>
          <w:ilvl w:val="0"/>
          <w:numId w:val="2"/>
        </w:numPr>
        <w:spacing w:before="60" w:after="60"/>
      </w:pPr>
      <w:r>
        <w:rPr>
          <w:rFonts w:ascii="Arial" w:cs="Arial" w:eastAsia="Arial" w:hAnsi="Arial"/>
          <w:color w:val="1A1A2E"/>
          <w:sz w:val="22"/>
          <w:szCs w:val="22"/>
        </w:rPr>
        <w:t xml:space="preserve">Impossibilité de mesurer précisément la performance terrain par pays, par zone ou par délégué.</w:t>
      </w:r>
    </w:p>
    <w:p>
      <w:pPr>
        <w:pStyle w:val="ListParagraph"/>
        <w:numPr>
          <w:ilvl w:val="0"/>
          <w:numId w:val="2"/>
        </w:numPr>
        <w:spacing w:before="60" w:after="60"/>
      </w:pPr>
      <w:r>
        <w:rPr>
          <w:rFonts w:ascii="Arial" w:cs="Arial" w:eastAsia="Arial" w:hAnsi="Arial"/>
          <w:color w:val="1A1A2E"/>
          <w:sz w:val="22"/>
          <w:szCs w:val="22"/>
        </w:rPr>
        <w:t xml:space="preserve">Gestion des ressources (matériels promotionnels, budgets visites) non optimisée.</w:t>
      </w:r>
    </w:p>
    <w:p>
      <w:pPr>
        <w:pStyle w:val="ListParagraph"/>
        <w:numPr>
          <w:ilvl w:val="0"/>
          <w:numId w:val="2"/>
        </w:numPr>
        <w:spacing w:before="60" w:after="60"/>
      </w:pPr>
      <w:r>
        <w:rPr>
          <w:rFonts w:ascii="Arial" w:cs="Arial" w:eastAsia="Arial" w:hAnsi="Arial"/>
          <w:color w:val="1A1A2E"/>
          <w:sz w:val="22"/>
          <w:szCs w:val="22"/>
        </w:rPr>
        <w:t xml:space="preserve">Manque d'un canal de communication unifié entre les services.</w:t>
      </w:r>
    </w:p>
    <w:p>
      <w:pPr>
        <w:spacing w:before="80" w:after="0"/>
      </w:pPr>
    </w:p>
    <w:p>
      <w:pPr>
        <w:pStyle w:val="Heading2"/>
        <w:spacing w:before="360" w:after="160"/>
      </w:pPr>
      <w:r>
        <w:rPr>
          <w:rFonts w:ascii="Arial" w:cs="Arial" w:eastAsia="Arial" w:hAnsi="Arial"/>
          <w:b/>
          <w:bCs/>
          <w:color w:val="0072CE"/>
          <w:sz w:val="28"/>
          <w:szCs w:val="28"/>
        </w:rPr>
        <w:t xml:space="preserve">1.3 Vision du Produit</w:t>
      </w:r>
    </w:p>
    <w:p>
      <w:pPr>
        <w:spacing w:before="80" w:after="120"/>
      </w:pPr>
      <w:r>
        <w:rPr>
          <w:rFonts w:ascii="Arial" w:cs="Arial" w:eastAsia="Arial" w:hAnsi="Arial"/>
          <w:color w:val="1A1A2E"/>
          <w:sz w:val="22"/>
          <w:szCs w:val="22"/>
        </w:rPr>
        <w:t xml:space="preserve">PharmaLink est la plateforme SaaS propriétaire de Prodipharm, conçue pour digitaliser et piloter l'intégralité des opérations de la force de vente médicale. C'est un outil de gestion centralisé, accessible sur web et mobile, réunissant tous les acteurs de l'écosystème commercial de l'entreprise dans une interface unique, sécurisée et adaptée aux contraintes africaines (connectivité variable, multilinguisme).</w:t>
      </w:r>
    </w:p>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2. OBJECTIFS DU PRODUIT</w:t>
            </w:r>
          </w:p>
        </w:tc>
      </w:tr>
    </w:tbl>
    <w:p>
      <w:pPr>
        <w:spacing w:before="80" w:after="0"/>
      </w:pPr>
    </w:p>
    <w:p>
      <w:pPr>
        <w:pStyle w:val="Heading2"/>
        <w:spacing w:before="360" w:after="160"/>
      </w:pPr>
      <w:r>
        <w:rPr>
          <w:rFonts w:ascii="Arial" w:cs="Arial" w:eastAsia="Arial" w:hAnsi="Arial"/>
          <w:b/>
          <w:bCs/>
          <w:color w:val="0072CE"/>
          <w:sz w:val="28"/>
          <w:szCs w:val="28"/>
        </w:rPr>
        <w:t xml:space="preserve">2.1 Objectifs Business</w:t>
      </w:r>
    </w:p>
    <w:p>
      <w:pPr>
        <w:pStyle w:val="ListParagraph"/>
        <w:numPr>
          <w:ilvl w:val="0"/>
          <w:numId w:val="2"/>
        </w:numPr>
        <w:spacing w:before="60" w:after="60"/>
      </w:pPr>
      <w:r>
        <w:rPr>
          <w:rFonts w:ascii="Arial" w:cs="Arial" w:eastAsia="Arial" w:hAnsi="Arial"/>
          <w:color w:val="1A1A2E"/>
          <w:sz w:val="22"/>
          <w:szCs w:val="22"/>
        </w:rPr>
        <w:t xml:space="preserve">Augmenter la productivité des délégués médicaux de 30% en 18 mois.</w:t>
      </w:r>
    </w:p>
    <w:p>
      <w:pPr>
        <w:pStyle w:val="ListParagraph"/>
        <w:numPr>
          <w:ilvl w:val="0"/>
          <w:numId w:val="2"/>
        </w:numPr>
        <w:spacing w:before="60" w:after="60"/>
      </w:pPr>
      <w:r>
        <w:rPr>
          <w:rFonts w:ascii="Arial" w:cs="Arial" w:eastAsia="Arial" w:hAnsi="Arial"/>
          <w:color w:val="1A1A2E"/>
          <w:sz w:val="22"/>
          <w:szCs w:val="22"/>
        </w:rPr>
        <w:t xml:space="preserve">Réduire le temps de traitement des rapports de visite de 70% (automatisation).</w:t>
      </w:r>
    </w:p>
    <w:p>
      <w:pPr>
        <w:pStyle w:val="ListParagraph"/>
        <w:numPr>
          <w:ilvl w:val="0"/>
          <w:numId w:val="2"/>
        </w:numPr>
        <w:spacing w:before="60" w:after="60"/>
      </w:pPr>
      <w:r>
        <w:rPr>
          <w:rFonts w:ascii="Arial" w:cs="Arial" w:eastAsia="Arial" w:hAnsi="Arial"/>
          <w:color w:val="1A1A2E"/>
          <w:sz w:val="22"/>
          <w:szCs w:val="22"/>
        </w:rPr>
        <w:t xml:space="preserve">Améliorer le taux de couverture des cibles médicales (médecins, pharmacies) par pays.</w:t>
      </w:r>
    </w:p>
    <w:p>
      <w:pPr>
        <w:pStyle w:val="ListParagraph"/>
        <w:numPr>
          <w:ilvl w:val="0"/>
          <w:numId w:val="2"/>
        </w:numPr>
        <w:spacing w:before="60" w:after="60"/>
      </w:pPr>
      <w:r>
        <w:rPr>
          <w:rFonts w:ascii="Arial" w:cs="Arial" w:eastAsia="Arial" w:hAnsi="Arial"/>
          <w:color w:val="1A1A2E"/>
          <w:sz w:val="22"/>
          <w:szCs w:val="22"/>
        </w:rPr>
        <w:t xml:space="preserve">Centraliser les données de performance pour faciliter les décisions stratégiques de la direction.</w:t>
      </w:r>
    </w:p>
    <w:p>
      <w:pPr>
        <w:pStyle w:val="ListParagraph"/>
        <w:numPr>
          <w:ilvl w:val="0"/>
          <w:numId w:val="2"/>
        </w:numPr>
        <w:spacing w:before="60" w:after="60"/>
      </w:pPr>
      <w:r>
        <w:rPr>
          <w:rFonts w:ascii="Arial" w:cs="Arial" w:eastAsia="Arial" w:hAnsi="Arial"/>
          <w:color w:val="1A1A2E"/>
          <w:sz w:val="22"/>
          <w:szCs w:val="22"/>
        </w:rPr>
        <w:t xml:space="preserve">Optimiser les dépenses promotionnelles grâce au suivi budgétaire en temps réel.</w:t>
      </w:r>
    </w:p>
    <w:p>
      <w:pPr>
        <w:spacing w:before="80" w:after="0"/>
      </w:pPr>
    </w:p>
    <w:p>
      <w:pPr>
        <w:pStyle w:val="Heading2"/>
        <w:spacing w:before="360" w:after="160"/>
      </w:pPr>
      <w:r>
        <w:rPr>
          <w:rFonts w:ascii="Arial" w:cs="Arial" w:eastAsia="Arial" w:hAnsi="Arial"/>
          <w:b/>
          <w:bCs/>
          <w:color w:val="0072CE"/>
          <w:sz w:val="28"/>
          <w:szCs w:val="28"/>
        </w:rPr>
        <w:t xml:space="preserve">2.2 Objectifs Techniques</w:t>
      </w:r>
    </w:p>
    <w:p>
      <w:pPr>
        <w:pStyle w:val="ListParagraph"/>
        <w:numPr>
          <w:ilvl w:val="0"/>
          <w:numId w:val="2"/>
        </w:numPr>
        <w:spacing w:before="60" w:after="60"/>
      </w:pPr>
      <w:r>
        <w:rPr>
          <w:rFonts w:ascii="Arial" w:cs="Arial" w:eastAsia="Arial" w:hAnsi="Arial"/>
          <w:color w:val="1A1A2E"/>
          <w:sz w:val="22"/>
          <w:szCs w:val="22"/>
        </w:rPr>
        <w:t xml:space="preserve">Déployer une plateforme SaaS multi-tenant, scalable et haute disponibilité (99,9% SLA).</w:t>
      </w:r>
    </w:p>
    <w:p>
      <w:pPr>
        <w:pStyle w:val="ListParagraph"/>
        <w:numPr>
          <w:ilvl w:val="0"/>
          <w:numId w:val="2"/>
        </w:numPr>
        <w:spacing w:before="60" w:after="60"/>
      </w:pPr>
      <w:r>
        <w:rPr>
          <w:rFonts w:ascii="Arial" w:cs="Arial" w:eastAsia="Arial" w:hAnsi="Arial"/>
          <w:color w:val="1A1A2E"/>
          <w:sz w:val="22"/>
          <w:szCs w:val="22"/>
        </w:rPr>
        <w:t xml:space="preserve">Intégrer la géolocalisation GPS en temps réel avec traçabilité des parcours.</w:t>
      </w:r>
    </w:p>
    <w:p>
      <w:pPr>
        <w:pStyle w:val="ListParagraph"/>
        <w:numPr>
          <w:ilvl w:val="0"/>
          <w:numId w:val="2"/>
        </w:numPr>
        <w:spacing w:before="60" w:after="60"/>
      </w:pPr>
      <w:r>
        <w:rPr>
          <w:rFonts w:ascii="Arial" w:cs="Arial" w:eastAsia="Arial" w:hAnsi="Arial"/>
          <w:color w:val="1A1A2E"/>
          <w:sz w:val="22"/>
          <w:szCs w:val="22"/>
        </w:rPr>
        <w:t xml:space="preserve">Garantir la sécurité des données médicales et commerciales (conformité RGPD, NDPR Nigeria, etc.).</w:t>
      </w:r>
    </w:p>
    <w:p>
      <w:pPr>
        <w:pStyle w:val="ListParagraph"/>
        <w:numPr>
          <w:ilvl w:val="0"/>
          <w:numId w:val="2"/>
        </w:numPr>
        <w:spacing w:before="60" w:after="60"/>
      </w:pPr>
      <w:r>
        <w:rPr>
          <w:rFonts w:ascii="Arial" w:cs="Arial" w:eastAsia="Arial" w:hAnsi="Arial"/>
          <w:color w:val="1A1A2E"/>
          <w:sz w:val="22"/>
          <w:szCs w:val="22"/>
        </w:rPr>
        <w:t xml:space="preserve">Offrir une expérience mobile-first pour les délégués (Android &amp; iOS).</w:t>
      </w:r>
    </w:p>
    <w:p>
      <w:pPr>
        <w:pStyle w:val="ListParagraph"/>
        <w:numPr>
          <w:ilvl w:val="0"/>
          <w:numId w:val="2"/>
        </w:numPr>
        <w:spacing w:before="60" w:after="60"/>
      </w:pPr>
      <w:r>
        <w:rPr>
          <w:rFonts w:ascii="Arial" w:cs="Arial" w:eastAsia="Arial" w:hAnsi="Arial"/>
          <w:color w:val="1A1A2E"/>
          <w:sz w:val="22"/>
          <w:szCs w:val="22"/>
        </w:rPr>
        <w:t xml:space="preserve">Supporter un fonctionnement offline avec synchronisation automatique.</w:t>
      </w:r>
    </w:p>
    <w:p>
      <w:pPr>
        <w:spacing w:before="80" w:after="0"/>
      </w:pPr>
    </w:p>
    <w:p>
      <w:pPr>
        <w:pStyle w:val="Heading2"/>
        <w:spacing w:before="360" w:after="160"/>
      </w:pPr>
      <w:r>
        <w:rPr>
          <w:rFonts w:ascii="Arial" w:cs="Arial" w:eastAsia="Arial" w:hAnsi="Arial"/>
          <w:b/>
          <w:bCs/>
          <w:color w:val="0072CE"/>
          <w:sz w:val="28"/>
          <w:szCs w:val="28"/>
        </w:rPr>
        <w:t xml:space="preserve">2.3 Indicateurs de Succès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KPI</w:t>
            </w:r>
          </w:p>
        </w:tc>
        <w:tc>
          <w:tcPr>
            <w:tcW w:type="dxa" w:w="2513"/>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Cible 6 mois</w:t>
            </w:r>
          </w:p>
        </w:tc>
        <w:tc>
          <w:tcPr>
            <w:tcW w:type="dxa" w:w="2513"/>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Cible 18 mois</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Taux d'adoption (DM actifs / total)</w:t>
            </w:r>
          </w:p>
        </w:tc>
        <w:tc>
          <w:tcPr>
            <w:tcW w:type="dxa" w:w="2513"/>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70%</w:t>
            </w:r>
          </w:p>
        </w:tc>
        <w:tc>
          <w:tcPr>
            <w:tcW w:type="dxa" w:w="2513"/>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95%</w:t>
            </w:r>
          </w:p>
        </w:tc>
      </w:tr>
      <w:tr>
        <w:tc>
          <w:tcPr>
            <w:tcW w:type="dxa" w:w="4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Rapports de visite soumis dans les 24h</w:t>
            </w:r>
          </w:p>
        </w:tc>
        <w:tc>
          <w:tcPr>
            <w:tcW w:type="dxa" w:w="2513"/>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80%</w:t>
            </w:r>
          </w:p>
        </w:tc>
        <w:tc>
          <w:tcPr>
            <w:tcW w:type="dxa" w:w="2513"/>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98%</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Précision des données de géolocalisation</w:t>
            </w:r>
          </w:p>
        </w:tc>
        <w:tc>
          <w:tcPr>
            <w:tcW w:type="dxa" w:w="2513"/>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85%</w:t>
            </w:r>
          </w:p>
        </w:tc>
        <w:tc>
          <w:tcPr>
            <w:tcW w:type="dxa" w:w="2513"/>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99%</w:t>
            </w:r>
          </w:p>
        </w:tc>
      </w:tr>
      <w:tr>
        <w:tc>
          <w:tcPr>
            <w:tcW w:type="dxa" w:w="4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Satisfaction utilisateurs (NPS)</w:t>
            </w:r>
          </w:p>
        </w:tc>
        <w:tc>
          <w:tcPr>
            <w:tcW w:type="dxa" w:w="2513"/>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&gt; 30</w:t>
            </w:r>
          </w:p>
        </w:tc>
        <w:tc>
          <w:tcPr>
            <w:tcW w:type="dxa" w:w="2513"/>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&gt; 60</w:t>
            </w:r>
          </w:p>
        </w:tc>
      </w:tr>
      <w:tr>
        <w:tc>
          <w:tcPr>
            <w:tcW w:type="dxa" w:w="4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Temps moyen de traitement d'un rapport</w:t>
            </w:r>
          </w:p>
        </w:tc>
        <w:tc>
          <w:tcPr>
            <w:tcW w:type="dxa" w:w="2513"/>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5 min</w:t>
            </w:r>
          </w:p>
        </w:tc>
        <w:tc>
          <w:tcPr>
            <w:tcW w:type="dxa" w:w="2513"/>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&lt; 2 min</w:t>
            </w:r>
          </w:p>
        </w:tc>
      </w:tr>
      <w:tr>
        <w:tc>
          <w:tcPr>
            <w:tcW w:type="dxa" w:w="4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Couverture des cibles médicales</w:t>
            </w:r>
          </w:p>
        </w:tc>
        <w:tc>
          <w:tcPr>
            <w:tcW w:type="dxa" w:w="2513"/>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+15%</w:t>
            </w:r>
          </w:p>
        </w:tc>
        <w:tc>
          <w:tcPr>
            <w:tcW w:type="dxa" w:w="2513"/>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+35%</w:t>
            </w:r>
          </w:p>
        </w:tc>
      </w:tr>
    </w:tbl>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3. PARTIES PRENANTES &amp; PROFILS UTILISATEURS</w:t>
            </w:r>
          </w:p>
        </w:tc>
      </w:tr>
    </w:tbl>
    <w:p>
      <w:pPr>
        <w:spacing w:before="80" w:after="0"/>
      </w:pPr>
    </w:p>
    <w:p>
      <w:pPr>
        <w:spacing w:before="80" w:after="120"/>
      </w:pPr>
      <w:r>
        <w:rPr>
          <w:rFonts w:ascii="Arial" w:cs="Arial" w:eastAsia="Arial" w:hAnsi="Arial"/>
          <w:color w:val="1A1A2E"/>
          <w:sz w:val="22"/>
          <w:szCs w:val="22"/>
        </w:rPr>
        <w:t xml:space="preserve">La plateforme PharmaLink est conçue pour cinq (5) profils d'utilisateurs distincts, chacun disposant de droits et d'interfaces adaptés à ses missions.</w:t>
      </w:r>
    </w:p>
    <w:p>
      <w:pPr>
        <w:spacing w:before="80" w:after="0"/>
      </w:pPr>
    </w:p>
    <w:p>
      <w:pPr>
        <w:pStyle w:val="Heading2"/>
        <w:spacing w:before="360" w:after="160"/>
      </w:pPr>
      <w:r>
        <w:rPr>
          <w:rFonts w:ascii="Arial" w:cs="Arial" w:eastAsia="Arial" w:hAnsi="Arial"/>
          <w:b/>
          <w:bCs/>
          <w:color w:val="0072CE"/>
          <w:sz w:val="28"/>
          <w:szCs w:val="28"/>
        </w:rPr>
        <w:t xml:space="preserve">3.1 Délégué Médical (DM)</w:t>
      </w:r>
    </w:p>
    <w:p>
      <w:pPr>
        <w:spacing w:before="80" w:after="120"/>
      </w:pPr>
      <w:r>
        <w:rPr>
          <w:rFonts w:ascii="Arial" w:cs="Arial" w:eastAsia="Arial" w:hAnsi="Arial"/>
          <w:color w:val="1A1A2E"/>
          <w:sz w:val="22"/>
          <w:szCs w:val="22"/>
        </w:rPr>
        <w:t xml:space="preserve">Principal utilisateur terrain. Accède à la plateforme via application mobile (Android/iOS). Il est le producteur principal des données terrain.</w:t>
      </w:r>
    </w:p>
    <w:p>
      <w:pPr>
        <w:spacing w:before="80" w:after="120"/>
      </w:pPr>
      <w:r>
        <w:rPr>
          <w:rFonts w:ascii="Arial" w:cs="Arial" w:eastAsia="Arial" w:hAnsi="Arial"/>
          <w:color w:val="1A1A2E"/>
          <w:sz w:val="22"/>
          <w:szCs w:val="22"/>
        </w:rPr>
        <w:t xml:space="preserve">Responsabilités :</w:t>
      </w:r>
    </w:p>
    <w:p>
      <w:pPr>
        <w:pStyle w:val="ListParagraph"/>
        <w:numPr>
          <w:ilvl w:val="0"/>
          <w:numId w:val="2"/>
        </w:numPr>
        <w:spacing w:before="60" w:after="60"/>
      </w:pPr>
      <w:r>
        <w:rPr>
          <w:rFonts w:ascii="Arial" w:cs="Arial" w:eastAsia="Arial" w:hAnsi="Arial"/>
          <w:color w:val="1A1A2E"/>
          <w:sz w:val="22"/>
          <w:szCs w:val="22"/>
        </w:rPr>
        <w:t xml:space="preserve">Planifier et exécuter ses visites auprès des professionnels de santé (HCP).</w:t>
      </w:r>
    </w:p>
    <w:p>
      <w:pPr>
        <w:pStyle w:val="ListParagraph"/>
        <w:numPr>
          <w:ilvl w:val="0"/>
          <w:numId w:val="2"/>
        </w:numPr>
        <w:spacing w:before="60" w:after="60"/>
      </w:pPr>
      <w:r>
        <w:rPr>
          <w:rFonts w:ascii="Arial" w:cs="Arial" w:eastAsia="Arial" w:hAnsi="Arial"/>
          <w:color w:val="1A1A2E"/>
          <w:sz w:val="22"/>
          <w:szCs w:val="22"/>
        </w:rPr>
        <w:t xml:space="preserve">Soumettre ses rapports de visite (CRM médical).</w:t>
      </w:r>
    </w:p>
    <w:p>
      <w:pPr>
        <w:pStyle w:val="ListParagraph"/>
        <w:numPr>
          <w:ilvl w:val="0"/>
          <w:numId w:val="2"/>
        </w:numPr>
        <w:spacing w:before="60" w:after="60"/>
      </w:pPr>
      <w:r>
        <w:rPr>
          <w:rFonts w:ascii="Arial" w:cs="Arial" w:eastAsia="Arial" w:hAnsi="Arial"/>
          <w:color w:val="1A1A2E"/>
          <w:sz w:val="22"/>
          <w:szCs w:val="22"/>
        </w:rPr>
        <w:t xml:space="preserve">Consulter son planning, ses objectifs et ses performances individuelles.</w:t>
      </w:r>
    </w:p>
    <w:p>
      <w:pPr>
        <w:pStyle w:val="ListParagraph"/>
        <w:numPr>
          <w:ilvl w:val="0"/>
          <w:numId w:val="2"/>
        </w:numPr>
        <w:spacing w:before="60" w:after="60"/>
      </w:pPr>
      <w:r>
        <w:rPr>
          <w:rFonts w:ascii="Arial" w:cs="Arial" w:eastAsia="Arial" w:hAnsi="Arial"/>
          <w:color w:val="1A1A2E"/>
          <w:sz w:val="22"/>
          <w:szCs w:val="22"/>
        </w:rPr>
        <w:t xml:space="preserve">Transmettre sa position GPS en temps réel pendant ses heures de travail.</w:t>
      </w:r>
    </w:p>
    <w:p>
      <w:pPr>
        <w:pStyle w:val="ListParagraph"/>
        <w:numPr>
          <w:ilvl w:val="0"/>
          <w:numId w:val="2"/>
        </w:numPr>
        <w:spacing w:before="60" w:after="60"/>
      </w:pPr>
      <w:r>
        <w:rPr>
          <w:rFonts w:ascii="Arial" w:cs="Arial" w:eastAsia="Arial" w:hAnsi="Arial"/>
          <w:color w:val="1A1A2E"/>
          <w:sz w:val="22"/>
          <w:szCs w:val="22"/>
        </w:rPr>
        <w:t xml:space="preserve">Accéder aux supports marketing et matériaux promotionnels.</w:t>
      </w:r>
    </w:p>
    <w:p>
      <w:pPr>
        <w:pStyle w:val="ListParagraph"/>
        <w:numPr>
          <w:ilvl w:val="0"/>
          <w:numId w:val="2"/>
        </w:numPr>
        <w:spacing w:before="60" w:after="60"/>
      </w:pPr>
      <w:r>
        <w:rPr>
          <w:rFonts w:ascii="Arial" w:cs="Arial" w:eastAsia="Arial" w:hAnsi="Arial"/>
          <w:color w:val="1A1A2E"/>
          <w:sz w:val="22"/>
          <w:szCs w:val="22"/>
        </w:rPr>
        <w:t xml:space="preserve">Gérer ses demandes de remboursement de frais.</w:t>
      </w:r>
    </w:p>
    <w:p>
      <w:pPr>
        <w:spacing w:before="80" w:after="0"/>
      </w:pPr>
    </w:p>
    <w:p>
      <w:pPr>
        <w:pStyle w:val="Heading2"/>
        <w:spacing w:before="360" w:after="160"/>
      </w:pPr>
      <w:r>
        <w:rPr>
          <w:rFonts w:ascii="Arial" w:cs="Arial" w:eastAsia="Arial" w:hAnsi="Arial"/>
          <w:b/>
          <w:bCs/>
          <w:color w:val="0072CE"/>
          <w:sz w:val="28"/>
          <w:szCs w:val="28"/>
        </w:rPr>
        <w:t xml:space="preserve">3.2 Superviseur / Manager Régional</w:t>
      </w:r>
    </w:p>
    <w:p>
      <w:pPr>
        <w:spacing w:before="80" w:after="120"/>
      </w:pPr>
      <w:r>
        <w:rPr>
          <w:rFonts w:ascii="Arial" w:cs="Arial" w:eastAsia="Arial" w:hAnsi="Arial"/>
          <w:color w:val="1A1A2E"/>
          <w:sz w:val="22"/>
          <w:szCs w:val="22"/>
        </w:rPr>
        <w:t xml:space="preserve">Responsable d'une équipe de délégués médicaux sur une zone géographique définie (ville, région ou pays). Accède via web et mobile.</w:t>
      </w:r>
    </w:p>
    <w:p>
      <w:pPr>
        <w:spacing w:before="80" w:after="120"/>
      </w:pPr>
      <w:r>
        <w:rPr>
          <w:rFonts w:ascii="Arial" w:cs="Arial" w:eastAsia="Arial" w:hAnsi="Arial"/>
          <w:color w:val="1A1A2E"/>
          <w:sz w:val="22"/>
          <w:szCs w:val="22"/>
        </w:rPr>
        <w:t xml:space="preserve">Responsabilités :</w:t>
      </w:r>
    </w:p>
    <w:p>
      <w:pPr>
        <w:pStyle w:val="ListParagraph"/>
        <w:numPr>
          <w:ilvl w:val="0"/>
          <w:numId w:val="2"/>
        </w:numPr>
        <w:spacing w:before="60" w:after="60"/>
      </w:pPr>
      <w:r>
        <w:rPr>
          <w:rFonts w:ascii="Arial" w:cs="Arial" w:eastAsia="Arial" w:hAnsi="Arial"/>
          <w:color w:val="1A1A2E"/>
          <w:sz w:val="22"/>
          <w:szCs w:val="22"/>
        </w:rPr>
        <w:t xml:space="preserve">Suivre en temps réel les positions GPS et l'activité de son équipe.</w:t>
      </w:r>
    </w:p>
    <w:p>
      <w:pPr>
        <w:pStyle w:val="ListParagraph"/>
        <w:numPr>
          <w:ilvl w:val="0"/>
          <w:numId w:val="2"/>
        </w:numPr>
        <w:spacing w:before="60" w:after="60"/>
      </w:pPr>
      <w:r>
        <w:rPr>
          <w:rFonts w:ascii="Arial" w:cs="Arial" w:eastAsia="Arial" w:hAnsi="Arial"/>
          <w:color w:val="1A1A2E"/>
          <w:sz w:val="22"/>
          <w:szCs w:val="22"/>
        </w:rPr>
        <w:t xml:space="preserve">Valider ou rejeter les rapports de visite soumis par les DM.</w:t>
      </w:r>
    </w:p>
    <w:p>
      <w:pPr>
        <w:pStyle w:val="ListParagraph"/>
        <w:numPr>
          <w:ilvl w:val="0"/>
          <w:numId w:val="2"/>
        </w:numPr>
        <w:spacing w:before="60" w:after="60"/>
      </w:pPr>
      <w:r>
        <w:rPr>
          <w:rFonts w:ascii="Arial" w:cs="Arial" w:eastAsia="Arial" w:hAnsi="Arial"/>
          <w:color w:val="1A1A2E"/>
          <w:sz w:val="22"/>
          <w:szCs w:val="22"/>
        </w:rPr>
        <w:t xml:space="preserve">Assigner des objectifs, des territoires et des cibles médicales.</w:t>
      </w:r>
    </w:p>
    <w:p>
      <w:pPr>
        <w:pStyle w:val="ListParagraph"/>
        <w:numPr>
          <w:ilvl w:val="0"/>
          <w:numId w:val="2"/>
        </w:numPr>
        <w:spacing w:before="60" w:after="60"/>
      </w:pPr>
      <w:r>
        <w:rPr>
          <w:rFonts w:ascii="Arial" w:cs="Arial" w:eastAsia="Arial" w:hAnsi="Arial"/>
          <w:color w:val="1A1A2E"/>
          <w:sz w:val="22"/>
          <w:szCs w:val="22"/>
        </w:rPr>
        <w:t xml:space="preserve">Analyser les performances de son équipe via tableaux de bord.</w:t>
      </w:r>
    </w:p>
    <w:p>
      <w:pPr>
        <w:pStyle w:val="ListParagraph"/>
        <w:numPr>
          <w:ilvl w:val="0"/>
          <w:numId w:val="2"/>
        </w:numPr>
        <w:spacing w:before="60" w:after="60"/>
      </w:pPr>
      <w:r>
        <w:rPr>
          <w:rFonts w:ascii="Arial" w:cs="Arial" w:eastAsia="Arial" w:hAnsi="Arial"/>
          <w:color w:val="1A1A2E"/>
          <w:sz w:val="22"/>
          <w:szCs w:val="22"/>
        </w:rPr>
        <w:t xml:space="preserve">Approuver les demandes de congés et de remboursement de frais.</w:t>
      </w:r>
    </w:p>
    <w:p>
      <w:pPr>
        <w:pStyle w:val="ListParagraph"/>
        <w:numPr>
          <w:ilvl w:val="0"/>
          <w:numId w:val="2"/>
        </w:numPr>
        <w:spacing w:before="60" w:after="60"/>
      </w:pPr>
      <w:r>
        <w:rPr>
          <w:rFonts w:ascii="Arial" w:cs="Arial" w:eastAsia="Arial" w:hAnsi="Arial"/>
          <w:color w:val="1A1A2E"/>
          <w:sz w:val="22"/>
          <w:szCs w:val="22"/>
        </w:rPr>
        <w:t xml:space="preserve">Communiquer avec les délégués via messagerie interne.</w:t>
      </w:r>
    </w:p>
    <w:p>
      <w:pPr>
        <w:spacing w:before="80" w:after="0"/>
      </w:pPr>
    </w:p>
    <w:p>
      <w:pPr>
        <w:pStyle w:val="Heading2"/>
        <w:spacing w:before="360" w:after="160"/>
      </w:pPr>
      <w:r>
        <w:rPr>
          <w:rFonts w:ascii="Arial" w:cs="Arial" w:eastAsia="Arial" w:hAnsi="Arial"/>
          <w:b/>
          <w:bCs/>
          <w:color w:val="0072CE"/>
          <w:sz w:val="28"/>
          <w:szCs w:val="28"/>
        </w:rPr>
        <w:t xml:space="preserve">3.3 Service Comptabilité &amp; Finance</w:t>
      </w:r>
    </w:p>
    <w:p>
      <w:pPr>
        <w:spacing w:before="80" w:after="120"/>
      </w:pPr>
      <w:r>
        <w:rPr>
          <w:rFonts w:ascii="Arial" w:cs="Arial" w:eastAsia="Arial" w:hAnsi="Arial"/>
          <w:color w:val="1A1A2E"/>
          <w:sz w:val="22"/>
          <w:szCs w:val="22"/>
        </w:rPr>
        <w:t xml:space="preserve">Accède aux modules financiers via interface web dédiée.</w:t>
      </w:r>
    </w:p>
    <w:p>
      <w:pPr>
        <w:spacing w:before="80" w:after="120"/>
      </w:pPr>
      <w:r>
        <w:rPr>
          <w:rFonts w:ascii="Arial" w:cs="Arial" w:eastAsia="Arial" w:hAnsi="Arial"/>
          <w:color w:val="1A1A2E"/>
          <w:sz w:val="22"/>
          <w:szCs w:val="22"/>
        </w:rPr>
        <w:t xml:space="preserve">Responsabilités :</w:t>
      </w:r>
    </w:p>
    <w:p>
      <w:pPr>
        <w:pStyle w:val="ListParagraph"/>
        <w:numPr>
          <w:ilvl w:val="0"/>
          <w:numId w:val="2"/>
        </w:numPr>
        <w:spacing w:before="60" w:after="60"/>
      </w:pPr>
      <w:r>
        <w:rPr>
          <w:rFonts w:ascii="Arial" w:cs="Arial" w:eastAsia="Arial" w:hAnsi="Arial"/>
          <w:color w:val="1A1A2E"/>
          <w:sz w:val="22"/>
          <w:szCs w:val="22"/>
        </w:rPr>
        <w:t xml:space="preserve">Gérer et valider les remboursements de frais des délégués (carburant, hébergement, restauration).</w:t>
      </w:r>
    </w:p>
    <w:p>
      <w:pPr>
        <w:pStyle w:val="ListParagraph"/>
        <w:numPr>
          <w:ilvl w:val="0"/>
          <w:numId w:val="2"/>
        </w:numPr>
        <w:spacing w:before="60" w:after="60"/>
      </w:pPr>
      <w:r>
        <w:rPr>
          <w:rFonts w:ascii="Arial" w:cs="Arial" w:eastAsia="Arial" w:hAnsi="Arial"/>
          <w:color w:val="1A1A2E"/>
          <w:sz w:val="22"/>
          <w:szCs w:val="22"/>
        </w:rPr>
        <w:t xml:space="preserve">Suivre les budgets alloués par équipe, par région et par pays.</w:t>
      </w:r>
    </w:p>
    <w:p>
      <w:pPr>
        <w:pStyle w:val="ListParagraph"/>
        <w:numPr>
          <w:ilvl w:val="0"/>
          <w:numId w:val="2"/>
        </w:numPr>
        <w:spacing w:before="60" w:after="60"/>
      </w:pPr>
      <w:r>
        <w:rPr>
          <w:rFonts w:ascii="Arial" w:cs="Arial" w:eastAsia="Arial" w:hAnsi="Arial"/>
          <w:color w:val="1A1A2E"/>
          <w:sz w:val="22"/>
          <w:szCs w:val="22"/>
        </w:rPr>
        <w:t xml:space="preserve">Générer et exporter les états financiers liés aux activités terrain.</w:t>
      </w:r>
    </w:p>
    <w:p>
      <w:pPr>
        <w:pStyle w:val="ListParagraph"/>
        <w:numPr>
          <w:ilvl w:val="0"/>
          <w:numId w:val="2"/>
        </w:numPr>
        <w:spacing w:before="60" w:after="60"/>
      </w:pPr>
      <w:r>
        <w:rPr>
          <w:rFonts w:ascii="Arial" w:cs="Arial" w:eastAsia="Arial" w:hAnsi="Arial"/>
          <w:color w:val="1A1A2E"/>
          <w:sz w:val="22"/>
          <w:szCs w:val="22"/>
        </w:rPr>
        <w:t xml:space="preserve">Configurer les barèmes de remboursement par pays (gestion multi-devises).</w:t>
      </w:r>
    </w:p>
    <w:p>
      <w:pPr>
        <w:pStyle w:val="ListParagraph"/>
        <w:numPr>
          <w:ilvl w:val="0"/>
          <w:numId w:val="2"/>
        </w:numPr>
        <w:spacing w:before="60" w:after="60"/>
      </w:pPr>
      <w:r>
        <w:rPr>
          <w:rFonts w:ascii="Arial" w:cs="Arial" w:eastAsia="Arial" w:hAnsi="Arial"/>
          <w:color w:val="1A1A2E"/>
          <w:sz w:val="22"/>
          <w:szCs w:val="22"/>
        </w:rPr>
        <w:t xml:space="preserve">Tracer les dépenses promotionnelles par produit et par cible.</w:t>
      </w:r>
    </w:p>
    <w:p>
      <w:pPr>
        <w:spacing w:before="80" w:after="0"/>
      </w:pPr>
    </w:p>
    <w:p>
      <w:pPr>
        <w:pStyle w:val="Heading2"/>
        <w:spacing w:before="360" w:after="160"/>
      </w:pPr>
      <w:r>
        <w:rPr>
          <w:rFonts w:ascii="Arial" w:cs="Arial" w:eastAsia="Arial" w:hAnsi="Arial"/>
          <w:b/>
          <w:bCs/>
          <w:color w:val="0072CE"/>
          <w:sz w:val="28"/>
          <w:szCs w:val="28"/>
        </w:rPr>
        <w:t xml:space="preserve">3.4 Service Marketing &amp; Communication</w:t>
      </w:r>
    </w:p>
    <w:p>
      <w:pPr>
        <w:spacing w:before="80" w:after="120"/>
      </w:pPr>
      <w:r>
        <w:rPr>
          <w:rFonts w:ascii="Arial" w:cs="Arial" w:eastAsia="Arial" w:hAnsi="Arial"/>
          <w:color w:val="1A1A2E"/>
          <w:sz w:val="22"/>
          <w:szCs w:val="22"/>
        </w:rPr>
        <w:t xml:space="preserve">Pilote la stratégie de communication terrain et les campagnes promotionnelles. Accès web.</w:t>
      </w:r>
    </w:p>
    <w:p>
      <w:pPr>
        <w:spacing w:before="80" w:after="120"/>
      </w:pPr>
      <w:r>
        <w:rPr>
          <w:rFonts w:ascii="Arial" w:cs="Arial" w:eastAsia="Arial" w:hAnsi="Arial"/>
          <w:color w:val="1A1A2E"/>
          <w:sz w:val="22"/>
          <w:szCs w:val="22"/>
        </w:rPr>
        <w:t xml:space="preserve">Responsabilités :</w:t>
      </w:r>
    </w:p>
    <w:p>
      <w:pPr>
        <w:pStyle w:val="ListParagraph"/>
        <w:numPr>
          <w:ilvl w:val="0"/>
          <w:numId w:val="2"/>
        </w:numPr>
        <w:spacing w:before="60" w:after="60"/>
      </w:pPr>
      <w:r>
        <w:rPr>
          <w:rFonts w:ascii="Arial" w:cs="Arial" w:eastAsia="Arial" w:hAnsi="Arial"/>
          <w:color w:val="1A1A2E"/>
          <w:sz w:val="22"/>
          <w:szCs w:val="22"/>
        </w:rPr>
        <w:t xml:space="preserve">Publier et gérer les supports promotionnels (brochures, présentations, CLM).</w:t>
      </w:r>
    </w:p>
    <w:p>
      <w:pPr>
        <w:pStyle w:val="ListParagraph"/>
        <w:numPr>
          <w:ilvl w:val="0"/>
          <w:numId w:val="2"/>
        </w:numPr>
        <w:spacing w:before="60" w:after="60"/>
      </w:pPr>
      <w:r>
        <w:rPr>
          <w:rFonts w:ascii="Arial" w:cs="Arial" w:eastAsia="Arial" w:hAnsi="Arial"/>
          <w:color w:val="1A1A2E"/>
          <w:sz w:val="22"/>
          <w:szCs w:val="22"/>
        </w:rPr>
        <w:t xml:space="preserve">Créer et diffuser des campagnes et des actualités produits aux délégués.</w:t>
      </w:r>
    </w:p>
    <w:p>
      <w:pPr>
        <w:pStyle w:val="ListParagraph"/>
        <w:numPr>
          <w:ilvl w:val="0"/>
          <w:numId w:val="2"/>
        </w:numPr>
        <w:spacing w:before="60" w:after="60"/>
      </w:pPr>
      <w:r>
        <w:rPr>
          <w:rFonts w:ascii="Arial" w:cs="Arial" w:eastAsia="Arial" w:hAnsi="Arial"/>
          <w:color w:val="1A1A2E"/>
          <w:sz w:val="22"/>
          <w:szCs w:val="22"/>
        </w:rPr>
        <w:t xml:space="preserve">Définir les produits prioritaires et les messages clés par territoire.</w:t>
      </w:r>
    </w:p>
    <w:p>
      <w:pPr>
        <w:pStyle w:val="ListParagraph"/>
        <w:numPr>
          <w:ilvl w:val="0"/>
          <w:numId w:val="2"/>
        </w:numPr>
        <w:spacing w:before="60" w:after="60"/>
      </w:pPr>
      <w:r>
        <w:rPr>
          <w:rFonts w:ascii="Arial" w:cs="Arial" w:eastAsia="Arial" w:hAnsi="Arial"/>
          <w:color w:val="1A1A2E"/>
          <w:sz w:val="22"/>
          <w:szCs w:val="22"/>
        </w:rPr>
        <w:t xml:space="preserve">Analyser les données terrain pour affiner les stratégies marketing.</w:t>
      </w:r>
    </w:p>
    <w:p>
      <w:pPr>
        <w:pStyle w:val="ListParagraph"/>
        <w:numPr>
          <w:ilvl w:val="0"/>
          <w:numId w:val="2"/>
        </w:numPr>
        <w:spacing w:before="60" w:after="60"/>
      </w:pPr>
      <w:r>
        <w:rPr>
          <w:rFonts w:ascii="Arial" w:cs="Arial" w:eastAsia="Arial" w:hAnsi="Arial"/>
          <w:color w:val="1A1A2E"/>
          <w:sz w:val="22"/>
          <w:szCs w:val="22"/>
        </w:rPr>
        <w:t xml:space="preserve">Gérer le catalogue produits (fiches, argumentaires, données cliniques).</w:t>
      </w:r>
    </w:p>
    <w:p>
      <w:pPr>
        <w:pStyle w:val="ListParagraph"/>
        <w:numPr>
          <w:ilvl w:val="0"/>
          <w:numId w:val="2"/>
        </w:numPr>
        <w:spacing w:before="60" w:after="60"/>
      </w:pPr>
      <w:r>
        <w:rPr>
          <w:rFonts w:ascii="Arial" w:cs="Arial" w:eastAsia="Arial" w:hAnsi="Arial"/>
          <w:color w:val="1A1A2E"/>
          <w:sz w:val="22"/>
          <w:szCs w:val="22"/>
        </w:rPr>
        <w:t xml:space="preserve">Créer des enquêtes et des questionnaires de collecte de feedback terrain.</w:t>
      </w:r>
    </w:p>
    <w:p>
      <w:pPr>
        <w:spacing w:before="80" w:after="0"/>
      </w:pPr>
    </w:p>
    <w:p>
      <w:pPr>
        <w:pStyle w:val="Heading2"/>
        <w:spacing w:before="360" w:after="160"/>
      </w:pPr>
      <w:r>
        <w:rPr>
          <w:rFonts w:ascii="Arial" w:cs="Arial" w:eastAsia="Arial" w:hAnsi="Arial"/>
          <w:b/>
          <w:bCs/>
          <w:color w:val="0072CE"/>
          <w:sz w:val="28"/>
          <w:szCs w:val="28"/>
        </w:rPr>
        <w:t xml:space="preserve">3.5 Super-Administrateur</w:t>
      </w:r>
    </w:p>
    <w:p>
      <w:pPr>
        <w:spacing w:before="80" w:after="120"/>
      </w:pPr>
      <w:r>
        <w:rPr>
          <w:rFonts w:ascii="Arial" w:cs="Arial" w:eastAsia="Arial" w:hAnsi="Arial"/>
          <w:color w:val="1A1A2E"/>
          <w:sz w:val="22"/>
          <w:szCs w:val="22"/>
        </w:rPr>
        <w:t xml:space="preserve">Rôle technique et organisationnel de plus haut niveau. Accès exclusivement via interface web sécurisée avec authentification forte (MFA).</w:t>
      </w:r>
    </w:p>
    <w:p>
      <w:pPr>
        <w:spacing w:before="80" w:after="120"/>
      </w:pPr>
      <w:r>
        <w:rPr>
          <w:rFonts w:ascii="Arial" w:cs="Arial" w:eastAsia="Arial" w:hAnsi="Arial"/>
          <w:color w:val="1A1A2E"/>
          <w:sz w:val="22"/>
          <w:szCs w:val="22"/>
        </w:rPr>
        <w:t xml:space="preserve">Responsabilités :</w:t>
      </w:r>
    </w:p>
    <w:p>
      <w:pPr>
        <w:pStyle w:val="ListParagraph"/>
        <w:numPr>
          <w:ilvl w:val="0"/>
          <w:numId w:val="2"/>
        </w:numPr>
        <w:spacing w:before="60" w:after="60"/>
      </w:pPr>
      <w:r>
        <w:rPr>
          <w:rFonts w:ascii="Arial" w:cs="Arial" w:eastAsia="Arial" w:hAnsi="Arial"/>
          <w:color w:val="1A1A2E"/>
          <w:sz w:val="22"/>
          <w:szCs w:val="22"/>
        </w:rPr>
        <w:t xml:space="preserve">Gérer l'ensemble des utilisateurs, rôles et permissions de la plateforme.</w:t>
      </w:r>
    </w:p>
    <w:p>
      <w:pPr>
        <w:pStyle w:val="ListParagraph"/>
        <w:numPr>
          <w:ilvl w:val="0"/>
          <w:numId w:val="2"/>
        </w:numPr>
        <w:spacing w:before="60" w:after="60"/>
      </w:pPr>
      <w:r>
        <w:rPr>
          <w:rFonts w:ascii="Arial" w:cs="Arial" w:eastAsia="Arial" w:hAnsi="Arial"/>
          <w:color w:val="1A1A2E"/>
          <w:sz w:val="22"/>
          <w:szCs w:val="22"/>
        </w:rPr>
        <w:t xml:space="preserve">Configurer les pays, régions, zones de vente et territoires.</w:t>
      </w:r>
    </w:p>
    <w:p>
      <w:pPr>
        <w:pStyle w:val="ListParagraph"/>
        <w:numPr>
          <w:ilvl w:val="0"/>
          <w:numId w:val="2"/>
        </w:numPr>
        <w:spacing w:before="60" w:after="60"/>
      </w:pPr>
      <w:r>
        <w:rPr>
          <w:rFonts w:ascii="Arial" w:cs="Arial" w:eastAsia="Arial" w:hAnsi="Arial"/>
          <w:color w:val="1A1A2E"/>
          <w:sz w:val="22"/>
          <w:szCs w:val="22"/>
        </w:rPr>
        <w:t xml:space="preserve">Superviser la santé technique du système (logs, performances, erreurs).</w:t>
      </w:r>
    </w:p>
    <w:p>
      <w:pPr>
        <w:pStyle w:val="ListParagraph"/>
        <w:numPr>
          <w:ilvl w:val="0"/>
          <w:numId w:val="2"/>
        </w:numPr>
        <w:spacing w:before="60" w:after="60"/>
      </w:pPr>
      <w:r>
        <w:rPr>
          <w:rFonts w:ascii="Arial" w:cs="Arial" w:eastAsia="Arial" w:hAnsi="Arial"/>
          <w:color w:val="1A1A2E"/>
          <w:sz w:val="22"/>
          <w:szCs w:val="22"/>
        </w:rPr>
        <w:t xml:space="preserve">Gérer les intégrations avec les systèmes tiers (ERP, CRM, etc.).</w:t>
      </w:r>
    </w:p>
    <w:p>
      <w:pPr>
        <w:pStyle w:val="ListParagraph"/>
        <w:numPr>
          <w:ilvl w:val="0"/>
          <w:numId w:val="2"/>
        </w:numPr>
        <w:spacing w:before="60" w:after="60"/>
      </w:pPr>
      <w:r>
        <w:rPr>
          <w:rFonts w:ascii="Arial" w:cs="Arial" w:eastAsia="Arial" w:hAnsi="Arial"/>
          <w:color w:val="1A1A2E"/>
          <w:sz w:val="22"/>
          <w:szCs w:val="22"/>
        </w:rPr>
        <w:t xml:space="preserve">Accéder à tous les modules en mode lecture/écriture.</w:t>
      </w:r>
    </w:p>
    <w:p>
      <w:pPr>
        <w:pStyle w:val="ListParagraph"/>
        <w:numPr>
          <w:ilvl w:val="0"/>
          <w:numId w:val="2"/>
        </w:numPr>
        <w:spacing w:before="60" w:after="60"/>
      </w:pPr>
      <w:r>
        <w:rPr>
          <w:rFonts w:ascii="Arial" w:cs="Arial" w:eastAsia="Arial" w:hAnsi="Arial"/>
          <w:color w:val="1A1A2E"/>
          <w:sz w:val="22"/>
          <w:szCs w:val="22"/>
        </w:rPr>
        <w:t xml:space="preserve">Configurer les règles métier (fréquences de visite, cycles, objectifs nationaux).</w:t>
      </w:r>
    </w:p>
    <w:p>
      <w:pPr>
        <w:pStyle w:val="ListParagraph"/>
        <w:numPr>
          <w:ilvl w:val="0"/>
          <w:numId w:val="2"/>
        </w:numPr>
        <w:spacing w:before="60" w:after="60"/>
      </w:pPr>
      <w:r>
        <w:rPr>
          <w:rFonts w:ascii="Arial" w:cs="Arial" w:eastAsia="Arial" w:hAnsi="Arial"/>
          <w:color w:val="1A1A2E"/>
          <w:sz w:val="22"/>
          <w:szCs w:val="22"/>
        </w:rPr>
        <w:t xml:space="preserve">Gérer les droits d'accès par pays et par entité juridique.</w:t>
      </w:r>
    </w:p>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4. FONCTIONNALITÉS — MODULE GÉOLOCALISATION</w:t>
            </w:r>
          </w:p>
        </w:tc>
      </w:tr>
    </w:tbl>
    <w:p>
      <w:pPr>
        <w:spacing w:before="80" w:after="0"/>
      </w:pPr>
    </w:p>
    <w:p>
      <w:pPr>
        <w:spacing w:before="80" w:after="120"/>
      </w:pPr>
      <w:r>
        <w:rPr>
          <w:rFonts w:ascii="Arial" w:cs="Arial" w:eastAsia="Arial" w:hAnsi="Arial"/>
          <w:color w:val="1A1A2E"/>
          <w:sz w:val="22"/>
          <w:szCs w:val="22"/>
        </w:rPr>
        <w:t xml:space="preserve">La géolocalisation est un pilier central de PharmaLink. Elle permet un suivi terrain fiable, transparent et exploitable analytiquement.</w:t>
      </w:r>
    </w:p>
    <w:p>
      <w:pPr>
        <w:spacing w:before="80" w:after="0"/>
      </w:pPr>
    </w:p>
    <w:p>
      <w:pPr>
        <w:pStyle w:val="Heading2"/>
        <w:spacing w:before="360" w:after="160"/>
      </w:pPr>
      <w:r>
        <w:rPr>
          <w:rFonts w:ascii="Arial" w:cs="Arial" w:eastAsia="Arial" w:hAnsi="Arial"/>
          <w:b/>
          <w:bCs/>
          <w:color w:val="0072CE"/>
          <w:sz w:val="28"/>
          <w:szCs w:val="28"/>
        </w:rPr>
        <w:t xml:space="preserve">4.1 Tracking GPS en Temps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526"/>
        <w:gridCol w:w="1000"/>
      </w:tblGrid>
      <w:tr>
        <w:trPr>
          <w:tblHeader/>
        </w:trPr>
        <w:tc>
          <w:tcPr>
            <w:tcW w:type="dxa" w:w="3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3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MVP</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Position Live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Affichage temps réel de la position du DM sur carte (Google Maps / OpenStreetMap)</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Historique de trajet</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Reconstitution du parcours journalier du DM sur carte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Heatmap d'activité</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Visualisation de densité des visites par zone géographique</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Non</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Geofencing</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Alertes automatiques si un DM entre/sort d'une zone définie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Pause tracking</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Suspension du tracking hors heures de travail (respect vie privée)</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Mode offline</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Stockage local des positions avec sync différée si pas de réseau</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bl>
    <w:p>
      <w:pPr>
        <w:spacing w:before="80" w:after="0"/>
      </w:pPr>
    </w:p>
    <w:p>
      <w:pPr>
        <w:pStyle w:val="Heading2"/>
        <w:spacing w:before="360" w:after="160"/>
      </w:pPr>
      <w:r>
        <w:rPr>
          <w:rFonts w:ascii="Arial" w:cs="Arial" w:eastAsia="Arial" w:hAnsi="Arial"/>
          <w:b/>
          <w:bCs/>
          <w:color w:val="0072CE"/>
          <w:sz w:val="28"/>
          <w:szCs w:val="28"/>
        </w:rPr>
        <w:t xml:space="preserve">4.2 Vérification des Visites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526"/>
        <w:gridCol w:w="1000"/>
      </w:tblGrid>
      <w:tr>
        <w:trPr>
          <w:tblHeader/>
        </w:trPr>
        <w:tc>
          <w:tcPr>
            <w:tcW w:type="dxa" w:w="3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3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MVP</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Check-in géolocalisé</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Validation automatique de la présence physique du DM chez le HCP lors de la visite</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Rayon de tolérance</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Configurable par super-admin (ex: 50m autour de l'adresse du HCP)</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Durée de visite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Mesure automatique de la durée passée sur le site du HCP</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Photo de présence</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Capture photo optionnelle à l'arrivée chez le HCP</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59669"/>
                <w:sz w:val="20"/>
                <w:szCs w:val="20"/>
              </w:rPr>
              <w:t xml:space="preserve">Moyenne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6B7280"/>
                <w:sz w:val="20"/>
                <w:szCs w:val="20"/>
              </w:rPr>
              <w:t xml:space="preserve">Non</w:t>
            </w:r>
          </w:p>
        </w:tc>
      </w:tr>
    </w:tbl>
    <w:p>
      <w:pPr>
        <w:spacing w:before="80" w:after="0"/>
      </w:pPr>
    </w:p>
    <w:p>
      <w:pPr>
        <w:pStyle w:val="Heading2"/>
        <w:spacing w:before="360" w:after="160"/>
      </w:pPr>
      <w:r>
        <w:rPr>
          <w:rFonts w:ascii="Arial" w:cs="Arial" w:eastAsia="Arial" w:hAnsi="Arial"/>
          <w:b/>
          <w:bCs/>
          <w:color w:val="0072CE"/>
          <w:sz w:val="28"/>
          <w:szCs w:val="28"/>
        </w:rPr>
        <w:t xml:space="preserve">4.3 Vue Superviseur — Tableau de Bord Cartographique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526"/>
        <w:gridCol w:w="1000"/>
      </w:tblGrid>
      <w:tr>
        <w:trPr>
          <w:tblHeader/>
        </w:trPr>
        <w:tc>
          <w:tcPr>
            <w:tcW w:type="dxa" w:w="3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3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MVP</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Vue équipe en temps réel</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Carte avec position de tous les DM de l'équipe en simultané</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Filtre par pays/région</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Navigation hiérarchique : Pays &gt; Région &gt; Zone &gt; Délégué</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Alertes d'inactivité</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Notification si un DM n'a pas bougé pendant X minutes en heures ouvrées</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Non</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Export KML/CSV</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Export des données de trajet pour analyses externes</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59669"/>
                <w:sz w:val="20"/>
                <w:szCs w:val="20"/>
              </w:rPr>
              <w:t xml:space="preserve">Moyenne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6B7280"/>
                <w:sz w:val="20"/>
                <w:szCs w:val="20"/>
              </w:rPr>
              <w:t xml:space="preserve">Non</w:t>
            </w:r>
          </w:p>
        </w:tc>
      </w:tr>
    </w:tbl>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5. FONCTIONNALITÉS — MODULES MÉTIER</w:t>
            </w:r>
          </w:p>
        </w:tc>
      </w:tr>
    </w:tbl>
    <w:p>
      <w:pPr>
        <w:spacing w:before="80" w:after="0"/>
      </w:pPr>
    </w:p>
    <w:p>
      <w:pPr>
        <w:pStyle w:val="Heading2"/>
        <w:spacing w:before="360" w:after="160"/>
      </w:pPr>
      <w:r>
        <w:rPr>
          <w:rFonts w:ascii="Arial" w:cs="Arial" w:eastAsia="Arial" w:hAnsi="Arial"/>
          <w:b/>
          <w:bCs/>
          <w:color w:val="0072CE"/>
          <w:sz w:val="28"/>
          <w:szCs w:val="28"/>
        </w:rPr>
        <w:t xml:space="preserve">5.1 Module CRM Médical — Gestion des Visites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526"/>
        <w:gridCol w:w="1000"/>
      </w:tblGrid>
      <w:tr>
        <w:trPr>
          <w:tblHeader/>
        </w:trPr>
        <w:tc>
          <w:tcPr>
            <w:tcW w:type="dxa" w:w="3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3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MVP</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Planification des visites</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Calendrier de tournée hebdomadaire/mensuel avec objectifs par HCP</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Rapport de visite</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Formulaire structuré : HCP visité, produit discuté, feedback, commande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Base de données HCP</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Annuaire des professionnels de santé par pays et spécialité</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Fréquence de visite</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Suivi du respect des fréquences cibles par HCP (A, B, C)</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Validation superviseur</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Workflow de validation des rapports avant clôture</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Historique des interactions</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Fiche HCP avec tout l'historique des visites et échanges</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bl>
    <w:p>
      <w:pPr>
        <w:spacing w:before="80" w:after="0"/>
      </w:pPr>
    </w:p>
    <w:p>
      <w:pPr>
        <w:pStyle w:val="Heading2"/>
        <w:spacing w:before="360" w:after="160"/>
      </w:pPr>
      <w:r>
        <w:rPr>
          <w:rFonts w:ascii="Arial" w:cs="Arial" w:eastAsia="Arial" w:hAnsi="Arial"/>
          <w:b/>
          <w:bCs/>
          <w:color w:val="0072CE"/>
          <w:sz w:val="28"/>
          <w:szCs w:val="28"/>
        </w:rPr>
        <w:t xml:space="preserve">5.2 Module Comptabilité &amp; Notes de Frais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526"/>
        <w:gridCol w:w="1000"/>
      </w:tblGrid>
      <w:tr>
        <w:trPr>
          <w:tblHeader/>
        </w:trPr>
        <w:tc>
          <w:tcPr>
            <w:tcW w:type="dxa" w:w="3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3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MVP</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Soumission de frais</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Formulaire mobile : type de dépense, montant, justificatif photo</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Workflow de validation</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Approbation multi-niveaux : Superviseur &gt; Finance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Barèmes multi-pays</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Configuration des plafonds de remboursement par pays et type de frais</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Multi-devises</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Gestion de toutes les devises africaines avec taux de change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Tableau de bord budgétaire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Vue consolidée des dépenses vs budgets par région et par pays</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Export comptable</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Export CSV/Excel vers systèmes ERP (SAP, Sage, etc.)</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6B7280"/>
                <w:sz w:val="20"/>
                <w:szCs w:val="20"/>
              </w:rPr>
              <w:t xml:space="preserve">Non</w:t>
            </w:r>
          </w:p>
        </w:tc>
      </w:tr>
    </w:tbl>
    <w:p>
      <w:pPr>
        <w:spacing w:before="80" w:after="0"/>
      </w:pPr>
    </w:p>
    <w:p>
      <w:pPr>
        <w:pStyle w:val="Heading2"/>
        <w:spacing w:before="360" w:after="160"/>
      </w:pPr>
      <w:r>
        <w:rPr>
          <w:rFonts w:ascii="Arial" w:cs="Arial" w:eastAsia="Arial" w:hAnsi="Arial"/>
          <w:b/>
          <w:bCs/>
          <w:color w:val="0072CE"/>
          <w:sz w:val="28"/>
          <w:szCs w:val="28"/>
        </w:rPr>
        <w:t xml:space="preserve">5.3 Module Marketing &amp; Contenu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526"/>
        <w:gridCol w:w="1000"/>
      </w:tblGrid>
      <w:tr>
        <w:trPr>
          <w:tblHeader/>
        </w:trPr>
        <w:tc>
          <w:tcPr>
            <w:tcW w:type="dxa" w:w="3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3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MVP</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Bibliothèque de ressources</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Stockage et distribution de brochures, vidéos, PDF, présentations</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CLM (Closed Loop Marketing)</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Présentation interactive des produits directement sur tablette lors de la visite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6B7280"/>
                <w:sz w:val="20"/>
                <w:szCs w:val="20"/>
              </w:rPr>
              <w:t xml:space="preserve">Non</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Messagerie broadcast</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Envoi de messages et actualités de la direction vers les équipes terrain</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Catalogue produits</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Fiches produits détaillées avec AMM, posologie, arguments cliniques</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Enquêtes &amp; sondages</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Création et déploiement de questionnaires pour collecter les insights terrain</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59669"/>
                <w:sz w:val="20"/>
                <w:szCs w:val="20"/>
              </w:rPr>
              <w:t xml:space="preserve">Moyenne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Non</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Campagnes ciblées</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Segmentation des messages par pays, zone ou spécialité médicale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6B7280"/>
                <w:sz w:val="20"/>
                <w:szCs w:val="20"/>
              </w:rPr>
              <w:t xml:space="preserve">Non</w:t>
            </w:r>
          </w:p>
        </w:tc>
      </w:tr>
    </w:tbl>
    <w:p>
      <w:pPr>
        <w:spacing w:before="80" w:after="0"/>
      </w:pPr>
    </w:p>
    <w:p>
      <w:pPr>
        <w:pStyle w:val="Heading2"/>
        <w:spacing w:before="360" w:after="160"/>
      </w:pPr>
      <w:r>
        <w:rPr>
          <w:rFonts w:ascii="Arial" w:cs="Arial" w:eastAsia="Arial" w:hAnsi="Arial"/>
          <w:b/>
          <w:bCs/>
          <w:color w:val="0072CE"/>
          <w:sz w:val="28"/>
          <w:szCs w:val="28"/>
        </w:rPr>
        <w:t xml:space="preserve">5.4 Module Performances &amp;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526"/>
        <w:gridCol w:w="1000"/>
      </w:tblGrid>
      <w:tr>
        <w:trPr>
          <w:tblHeader/>
        </w:trPr>
        <w:tc>
          <w:tcPr>
            <w:tcW w:type="dxa" w:w="3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Fonctionnalité</w:t>
            </w:r>
          </w:p>
        </w:tc>
        <w:tc>
          <w:tcPr>
            <w:tcW w:type="dxa" w:w="3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1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0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MVP</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Tableau de bord DM</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KPIs personnels : visites réalisées vs objectif, taux de couverture</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Tableau de bord Superviseur</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Vue équipe : classement, performances, retards, absences</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Tableau de bord Direction</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Vue macro par pays, produit, région, avec drill-down</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Critique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Oui</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Rapports automatisés</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Génération hebdomadaire/mensuelle de rapports PDF envoyés par email</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6B7280"/>
                <w:sz w:val="20"/>
                <w:szCs w:val="20"/>
              </w:rPr>
              <w:t xml:space="preserve">Non</w:t>
            </w:r>
          </w:p>
        </w:tc>
      </w:tr>
      <w:tr>
        <w:tc>
          <w:tcPr>
            <w:tcW w:type="dxa" w:w="3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Analyse prédictive</w:t>
            </w:r>
          </w:p>
        </w:tc>
        <w:tc>
          <w:tcPr>
            <w:tcW w:type="dxa" w:w="3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Prévision de la couverture cibles et suggestions d'optimisation de tournée</w:t>
            </w:r>
          </w:p>
        </w:tc>
        <w:tc>
          <w:tcPr>
            <w:tcW w:type="dxa" w:w="1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59669"/>
                <w:sz w:val="20"/>
                <w:szCs w:val="20"/>
              </w:rPr>
              <w:t xml:space="preserve">Moyenne</w:t>
            </w:r>
          </w:p>
        </w:tc>
        <w:tc>
          <w:tcPr>
            <w:tcW w:type="dxa" w:w="10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6B7280"/>
                <w:sz w:val="20"/>
                <w:szCs w:val="20"/>
              </w:rPr>
              <w:t xml:space="preserve">Non</w:t>
            </w:r>
          </w:p>
        </w:tc>
      </w:tr>
      <w:tr>
        <w:tc>
          <w:tcPr>
            <w:tcW w:type="dxa" w:w="3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Exports de données</w:t>
            </w:r>
          </w:p>
        </w:tc>
        <w:tc>
          <w:tcPr>
            <w:tcW w:type="dxa" w:w="3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Export Excel/CSV de tous les jeux de données de la plateforme</w:t>
            </w:r>
          </w:p>
        </w:tc>
        <w:tc>
          <w:tcPr>
            <w:tcW w:type="dxa" w:w="1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Haute</w:t>
            </w:r>
          </w:p>
        </w:tc>
        <w:tc>
          <w:tcPr>
            <w:tcW w:type="dxa" w:w="10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Oui</w:t>
            </w:r>
          </w:p>
        </w:tc>
      </w:tr>
    </w:tbl>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6. ARCHITECTURE TECHNIQUE</w:t>
            </w:r>
          </w:p>
        </w:tc>
      </w:tr>
    </w:tbl>
    <w:p>
      <w:pPr>
        <w:spacing w:before="80" w:after="0"/>
      </w:pPr>
    </w:p>
    <w:p>
      <w:pPr>
        <w:pStyle w:val="Heading2"/>
        <w:spacing w:before="360" w:after="160"/>
      </w:pPr>
      <w:r>
        <w:rPr>
          <w:rFonts w:ascii="Arial" w:cs="Arial" w:eastAsia="Arial" w:hAnsi="Arial"/>
          <w:b/>
          <w:bCs/>
          <w:color w:val="0072CE"/>
          <w:sz w:val="28"/>
          <w:szCs w:val="28"/>
        </w:rPr>
        <w:t xml:space="preserve">6.1 Vue d'ensemble de l'Architecture</w:t>
      </w:r>
    </w:p>
    <w:p>
      <w:pPr>
        <w:spacing w:before="80" w:after="120"/>
      </w:pPr>
      <w:r>
        <w:rPr>
          <w:rFonts w:ascii="Arial" w:cs="Arial" w:eastAsia="Arial" w:hAnsi="Arial"/>
          <w:color w:val="1A1A2E"/>
          <w:sz w:val="22"/>
          <w:szCs w:val="22"/>
        </w:rPr>
        <w:t xml:space="preserve">PharmaLink repose sur une architecture cloud-native, microservices, conçue pour la scalabilité, la haute disponibilité et la sécurité.</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3010"/>
        <w:gridCol w:w="3510"/>
      </w:tblGrid>
      <w:tr>
        <w:tc>
          <w:tcPr>
            <w:tcW w:type="dxa" w:w="250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Couche</w:t>
            </w:r>
          </w:p>
        </w:tc>
        <w:tc>
          <w:tcPr>
            <w:tcW w:type="dxa" w:w="301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Technologies recommandées</w:t>
            </w:r>
          </w:p>
        </w:tc>
        <w:tc>
          <w:tcPr>
            <w:tcW w:type="dxa" w:w="351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Justification</w:t>
            </w:r>
          </w:p>
        </w:tc>
      </w:tr>
      <w:tr>
        <w:tc>
          <w:tcPr>
            <w:tcW w:type="dxa" w:w="250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Frontend Web</w:t>
            </w:r>
          </w:p>
        </w:tc>
        <w:tc>
          <w:tcPr>
            <w:tcW w:type="dxa" w:w="30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072CE"/>
                <w:sz w:val="20"/>
                <w:szCs w:val="20"/>
              </w:rPr>
              <w:t xml:space="preserve">React.js / Next.js</w:t>
            </w:r>
          </w:p>
        </w:tc>
        <w:tc>
          <w:tcPr>
            <w:tcW w:type="dxa" w:w="35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SPA performante, SSR pour SEO, écosystème riche</w:t>
            </w:r>
          </w:p>
        </w:tc>
      </w:tr>
      <w:tr>
        <w:tc>
          <w:tcPr>
            <w:tcW w:type="dxa" w:w="250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Application Mobile</w:t>
            </w:r>
          </w:p>
        </w:tc>
        <w:tc>
          <w:tcPr>
            <w:tcW w:type="dxa" w:w="30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072CE"/>
                <w:sz w:val="20"/>
                <w:szCs w:val="20"/>
              </w:rPr>
              <w:t xml:space="preserve">React Native (iOS &amp; Android)</w:t>
            </w:r>
          </w:p>
        </w:tc>
        <w:tc>
          <w:tcPr>
            <w:tcW w:type="dxa" w:w="35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Code unique, performances natives, accès GPS</w:t>
            </w:r>
          </w:p>
        </w:tc>
      </w:tr>
      <w:tr>
        <w:tc>
          <w:tcPr>
            <w:tcW w:type="dxa" w:w="250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Backend / API</w:t>
            </w:r>
          </w:p>
        </w:tc>
        <w:tc>
          <w:tcPr>
            <w:tcW w:type="dxa" w:w="30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072CE"/>
                <w:sz w:val="20"/>
                <w:szCs w:val="20"/>
              </w:rPr>
              <w:t xml:space="preserve">Node.js (NestJS) ou Python (FastAPI)</w:t>
            </w:r>
          </w:p>
        </w:tc>
        <w:tc>
          <w:tcPr>
            <w:tcW w:type="dxa" w:w="35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API REST + GraphQL, microservices</w:t>
            </w:r>
          </w:p>
        </w:tc>
      </w:tr>
      <w:tr>
        <w:tc>
          <w:tcPr>
            <w:tcW w:type="dxa" w:w="250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Base de données principale</w:t>
            </w:r>
          </w:p>
        </w:tc>
        <w:tc>
          <w:tcPr>
            <w:tcW w:type="dxa" w:w="30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072CE"/>
                <w:sz w:val="20"/>
                <w:szCs w:val="20"/>
              </w:rPr>
              <w:t xml:space="preserve">PostgreSQL</w:t>
            </w:r>
          </w:p>
        </w:tc>
        <w:tc>
          <w:tcPr>
            <w:tcW w:type="dxa" w:w="35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Robustesse, relations complexes, open source</w:t>
            </w:r>
          </w:p>
        </w:tc>
      </w:tr>
      <w:tr>
        <w:tc>
          <w:tcPr>
            <w:tcW w:type="dxa" w:w="250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Base de données temps réel</w:t>
            </w:r>
          </w:p>
        </w:tc>
        <w:tc>
          <w:tcPr>
            <w:tcW w:type="dxa" w:w="30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072CE"/>
                <w:sz w:val="20"/>
                <w:szCs w:val="20"/>
              </w:rPr>
              <w:t xml:space="preserve">Redis / Firebase Realtime DB</w:t>
            </w:r>
          </w:p>
        </w:tc>
        <w:tc>
          <w:tcPr>
            <w:tcW w:type="dxa" w:w="35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Géolocalisation live, messaging</w:t>
            </w:r>
          </w:p>
        </w:tc>
      </w:tr>
      <w:tr>
        <w:tc>
          <w:tcPr>
            <w:tcW w:type="dxa" w:w="250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Stockage fichiers</w:t>
            </w:r>
          </w:p>
        </w:tc>
        <w:tc>
          <w:tcPr>
            <w:tcW w:type="dxa" w:w="30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072CE"/>
                <w:sz w:val="20"/>
                <w:szCs w:val="20"/>
              </w:rPr>
              <w:t xml:space="preserve">AWS S3 / Cloudflare R2</w:t>
            </w:r>
          </w:p>
        </w:tc>
        <w:tc>
          <w:tcPr>
            <w:tcW w:type="dxa" w:w="35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Stockage ressources marketing, justificatifs</w:t>
            </w:r>
          </w:p>
        </w:tc>
      </w:tr>
      <w:tr>
        <w:tc>
          <w:tcPr>
            <w:tcW w:type="dxa" w:w="250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Infrastructure cloud</w:t>
            </w:r>
          </w:p>
        </w:tc>
        <w:tc>
          <w:tcPr>
            <w:tcW w:type="dxa" w:w="30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072CE"/>
                <w:sz w:val="20"/>
                <w:szCs w:val="20"/>
              </w:rPr>
              <w:t xml:space="preserve">AWS / GCP (régions Afrique)</w:t>
            </w:r>
          </w:p>
        </w:tc>
        <w:tc>
          <w:tcPr>
            <w:tcW w:type="dxa" w:w="35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Latence réduite, conformité données locales</w:t>
            </w:r>
          </w:p>
        </w:tc>
      </w:tr>
      <w:tr>
        <w:tc>
          <w:tcPr>
            <w:tcW w:type="dxa" w:w="250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Géolocalisation</w:t>
            </w:r>
          </w:p>
        </w:tc>
        <w:tc>
          <w:tcPr>
            <w:tcW w:type="dxa" w:w="30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072CE"/>
                <w:sz w:val="20"/>
                <w:szCs w:val="20"/>
              </w:rPr>
              <w:t xml:space="preserve">Google Maps Platform / Mapbox</w:t>
            </w:r>
          </w:p>
        </w:tc>
        <w:tc>
          <w:tcPr>
            <w:tcW w:type="dxa" w:w="351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Cartographie, géocodage, routing</w:t>
            </w:r>
          </w:p>
        </w:tc>
      </w:tr>
      <w:tr>
        <w:tc>
          <w:tcPr>
            <w:tcW w:type="dxa" w:w="250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Notifications Push</w:t>
            </w:r>
          </w:p>
        </w:tc>
        <w:tc>
          <w:tcPr>
            <w:tcW w:type="dxa" w:w="30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072CE"/>
                <w:sz w:val="20"/>
                <w:szCs w:val="20"/>
              </w:rPr>
              <w:t xml:space="preserve">Firebase Cloud Messaging (FCM)</w:t>
            </w:r>
          </w:p>
        </w:tc>
        <w:tc>
          <w:tcPr>
            <w:tcW w:type="dxa" w:w="351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Notifications mobiles cross-platform</w:t>
            </w:r>
          </w:p>
        </w:tc>
      </w:tr>
    </w:tbl>
    <w:p>
      <w:pPr>
        <w:spacing w:before="80" w:after="0"/>
      </w:pPr>
    </w:p>
    <w:p>
      <w:pPr>
        <w:pStyle w:val="Heading2"/>
        <w:spacing w:before="360" w:after="160"/>
      </w:pPr>
      <w:r>
        <w:rPr>
          <w:rFonts w:ascii="Arial" w:cs="Arial" w:eastAsia="Arial" w:hAnsi="Arial"/>
          <w:b/>
          <w:bCs/>
          <w:color w:val="0072CE"/>
          <w:sz w:val="28"/>
          <w:szCs w:val="28"/>
        </w:rPr>
        <w:t xml:space="preserve">6.2 Contraintes Africaines — Connectivité</w:t>
      </w:r>
    </w:p>
    <w:p>
      <w:pPr>
        <w:spacing w:before="80" w:after="120"/>
      </w:pPr>
      <w:r>
        <w:rPr>
          <w:rFonts w:ascii="Arial" w:cs="Arial" w:eastAsia="Arial" w:hAnsi="Arial"/>
          <w:color w:val="1A1A2E"/>
          <w:sz w:val="22"/>
          <w:szCs w:val="22"/>
        </w:rPr>
        <w:t xml:space="preserve">La plateforme doit fonctionner de manière dégradée mais acceptable dans des conditions de connectivité limitée, fréquentes dans les zones rurales et périurbaines africaines.</w:t>
      </w:r>
    </w:p>
    <w:p>
      <w:pPr>
        <w:pStyle w:val="ListParagraph"/>
        <w:numPr>
          <w:ilvl w:val="0"/>
          <w:numId w:val="2"/>
        </w:numPr>
        <w:spacing w:before="60" w:after="60"/>
      </w:pPr>
      <w:r>
        <w:rPr>
          <w:rFonts w:ascii="Arial" w:cs="Arial" w:eastAsia="Arial" w:hAnsi="Arial"/>
          <w:color w:val="1A1A2E"/>
          <w:sz w:val="22"/>
          <w:szCs w:val="22"/>
        </w:rPr>
        <w:t xml:space="preserve">Mode offline complet pour l'application mobile : saisie de rapports, check-in, accès aux ressources téléchargées.</w:t>
      </w:r>
    </w:p>
    <w:p>
      <w:pPr>
        <w:pStyle w:val="ListParagraph"/>
        <w:numPr>
          <w:ilvl w:val="0"/>
          <w:numId w:val="2"/>
        </w:numPr>
        <w:spacing w:before="60" w:after="60"/>
      </w:pPr>
      <w:r>
        <w:rPr>
          <w:rFonts w:ascii="Arial" w:cs="Arial" w:eastAsia="Arial" w:hAnsi="Arial"/>
          <w:color w:val="1A1A2E"/>
          <w:sz w:val="22"/>
          <w:szCs w:val="22"/>
        </w:rPr>
        <w:t xml:space="preserve">Synchronisation automatique dès la reconnexion au réseau (file d'attente des données locales).</w:t>
      </w:r>
    </w:p>
    <w:p>
      <w:pPr>
        <w:pStyle w:val="ListParagraph"/>
        <w:numPr>
          <w:ilvl w:val="0"/>
          <w:numId w:val="2"/>
        </w:numPr>
        <w:spacing w:before="60" w:after="60"/>
      </w:pPr>
      <w:r>
        <w:rPr>
          <w:rFonts w:ascii="Arial" w:cs="Arial" w:eastAsia="Arial" w:hAnsi="Arial"/>
          <w:color w:val="1A1A2E"/>
          <w:sz w:val="22"/>
          <w:szCs w:val="22"/>
        </w:rPr>
        <w:t xml:space="preserve">Compression des données et des images pour minimiser la consommation data mobile.</w:t>
      </w:r>
    </w:p>
    <w:p>
      <w:pPr>
        <w:pStyle w:val="ListParagraph"/>
        <w:numPr>
          <w:ilvl w:val="0"/>
          <w:numId w:val="2"/>
        </w:numPr>
        <w:spacing w:before="60" w:after="60"/>
      </w:pPr>
      <w:r>
        <w:rPr>
          <w:rFonts w:ascii="Arial" w:cs="Arial" w:eastAsia="Arial" w:hAnsi="Arial"/>
          <w:color w:val="1A1A2E"/>
          <w:sz w:val="22"/>
          <w:szCs w:val="22"/>
        </w:rPr>
        <w:t xml:space="preserve">Compatibilité avec les connexions 2G/3G (progressive loading, lazy images).</w:t>
      </w:r>
    </w:p>
    <w:p>
      <w:pPr>
        <w:pStyle w:val="ListParagraph"/>
        <w:numPr>
          <w:ilvl w:val="0"/>
          <w:numId w:val="2"/>
        </w:numPr>
        <w:spacing w:before="60" w:after="60"/>
      </w:pPr>
      <w:r>
        <w:rPr>
          <w:rFonts w:ascii="Arial" w:cs="Arial" w:eastAsia="Arial" w:hAnsi="Arial"/>
          <w:color w:val="1A1A2E"/>
          <w:sz w:val="22"/>
          <w:szCs w:val="22"/>
        </w:rPr>
        <w:t xml:space="preserve">Application mobile légère (&lt; 50 MB) pour être installable sur les terminaux bas de gamme.</w:t>
      </w:r>
    </w:p>
    <w:p>
      <w:pPr>
        <w:spacing w:before="80" w:after="0"/>
      </w:pPr>
    </w:p>
    <w:p>
      <w:pPr>
        <w:pStyle w:val="Heading2"/>
        <w:spacing w:before="360" w:after="160"/>
      </w:pPr>
      <w:r>
        <w:rPr>
          <w:rFonts w:ascii="Arial" w:cs="Arial" w:eastAsia="Arial" w:hAnsi="Arial"/>
          <w:b/>
          <w:bCs/>
          <w:color w:val="0072CE"/>
          <w:sz w:val="28"/>
          <w:szCs w:val="28"/>
        </w:rPr>
        <w:t xml:space="preserve">6.3 Sécurité et Conformité</w:t>
      </w:r>
    </w:p>
    <w:p>
      <w:pPr>
        <w:pStyle w:val="ListParagraph"/>
        <w:numPr>
          <w:ilvl w:val="0"/>
          <w:numId w:val="2"/>
        </w:numPr>
        <w:spacing w:before="60" w:after="60"/>
      </w:pPr>
      <w:r>
        <w:rPr>
          <w:rFonts w:ascii="Arial" w:cs="Arial" w:eastAsia="Arial" w:hAnsi="Arial"/>
          <w:color w:val="1A1A2E"/>
          <w:sz w:val="22"/>
          <w:szCs w:val="22"/>
        </w:rPr>
        <w:t xml:space="preserve">Authentification : JWT avec refresh tokens + MFA obligatoire pour Superviseurs et rôles supérieurs.</w:t>
      </w:r>
    </w:p>
    <w:p>
      <w:pPr>
        <w:pStyle w:val="ListParagraph"/>
        <w:numPr>
          <w:ilvl w:val="0"/>
          <w:numId w:val="2"/>
        </w:numPr>
        <w:spacing w:before="60" w:after="60"/>
      </w:pPr>
      <w:r>
        <w:rPr>
          <w:rFonts w:ascii="Arial" w:cs="Arial" w:eastAsia="Arial" w:hAnsi="Arial"/>
          <w:color w:val="1A1A2E"/>
          <w:sz w:val="22"/>
          <w:szCs w:val="22"/>
        </w:rPr>
        <w:t xml:space="preserve">Chiffrement : TLS 1.3 en transit, AES-256 au repos.</w:t>
      </w:r>
    </w:p>
    <w:p>
      <w:pPr>
        <w:pStyle w:val="ListParagraph"/>
        <w:numPr>
          <w:ilvl w:val="0"/>
          <w:numId w:val="2"/>
        </w:numPr>
        <w:spacing w:before="60" w:after="60"/>
      </w:pPr>
      <w:r>
        <w:rPr>
          <w:rFonts w:ascii="Arial" w:cs="Arial" w:eastAsia="Arial" w:hAnsi="Arial"/>
          <w:color w:val="1A1A2E"/>
          <w:sz w:val="22"/>
          <w:szCs w:val="22"/>
        </w:rPr>
        <w:t xml:space="preserve">Contrôle d'accès basé sur les rôles (RBAC) granulaire.</w:t>
      </w:r>
    </w:p>
    <w:p>
      <w:pPr>
        <w:pStyle w:val="ListParagraph"/>
        <w:numPr>
          <w:ilvl w:val="0"/>
          <w:numId w:val="2"/>
        </w:numPr>
        <w:spacing w:before="60" w:after="60"/>
      </w:pPr>
      <w:r>
        <w:rPr>
          <w:rFonts w:ascii="Arial" w:cs="Arial" w:eastAsia="Arial" w:hAnsi="Arial"/>
          <w:color w:val="1A1A2E"/>
          <w:sz w:val="22"/>
          <w:szCs w:val="22"/>
        </w:rPr>
        <w:t xml:space="preserve">Journalisation de tous les accès et modifications de données (audit log).</w:t>
      </w:r>
    </w:p>
    <w:p>
      <w:pPr>
        <w:pStyle w:val="ListParagraph"/>
        <w:numPr>
          <w:ilvl w:val="0"/>
          <w:numId w:val="2"/>
        </w:numPr>
        <w:spacing w:before="60" w:after="60"/>
      </w:pPr>
      <w:r>
        <w:rPr>
          <w:rFonts w:ascii="Arial" w:cs="Arial" w:eastAsia="Arial" w:hAnsi="Arial"/>
          <w:color w:val="1A1A2E"/>
          <w:sz w:val="22"/>
          <w:szCs w:val="22"/>
        </w:rPr>
        <w:t xml:space="preserve">Conformité RGPD, NDPR (Nigeria), et réglementations locales de protection des données.</w:t>
      </w:r>
    </w:p>
    <w:p>
      <w:pPr>
        <w:pStyle w:val="ListParagraph"/>
        <w:numPr>
          <w:ilvl w:val="0"/>
          <w:numId w:val="2"/>
        </w:numPr>
        <w:spacing w:before="60" w:after="60"/>
      </w:pPr>
      <w:r>
        <w:rPr>
          <w:rFonts w:ascii="Arial" w:cs="Arial" w:eastAsia="Arial" w:hAnsi="Arial"/>
          <w:color w:val="1A1A2E"/>
          <w:sz w:val="22"/>
          <w:szCs w:val="22"/>
        </w:rPr>
        <w:t xml:space="preserve">Pseudonymisation des données personnelles des HCP.</w:t>
      </w:r>
    </w:p>
    <w:p>
      <w:pPr>
        <w:pStyle w:val="ListParagraph"/>
        <w:numPr>
          <w:ilvl w:val="0"/>
          <w:numId w:val="2"/>
        </w:numPr>
        <w:spacing w:before="60" w:after="60"/>
      </w:pPr>
      <w:r>
        <w:rPr>
          <w:rFonts w:ascii="Arial" w:cs="Arial" w:eastAsia="Arial" w:hAnsi="Arial"/>
          <w:color w:val="1A1A2E"/>
          <w:sz w:val="22"/>
          <w:szCs w:val="22"/>
        </w:rPr>
        <w:t xml:space="preserve">Sauvegarde quotidienne automatique avec rétention 30 jours.</w:t>
      </w:r>
    </w:p>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7. EXPÉRIENCE UTILISATEUR (UX/UI)</w:t>
            </w:r>
          </w:p>
        </w:tc>
      </w:tr>
    </w:tbl>
    <w:p>
      <w:pPr>
        <w:spacing w:before="80" w:after="0"/>
      </w:pPr>
    </w:p>
    <w:p>
      <w:pPr>
        <w:pStyle w:val="Heading2"/>
        <w:spacing w:before="360" w:after="160"/>
      </w:pPr>
      <w:r>
        <w:rPr>
          <w:rFonts w:ascii="Arial" w:cs="Arial" w:eastAsia="Arial" w:hAnsi="Arial"/>
          <w:b/>
          <w:bCs/>
          <w:color w:val="0072CE"/>
          <w:sz w:val="28"/>
          <w:szCs w:val="28"/>
        </w:rPr>
        <w:t xml:space="preserve">7.1 Principes de Design</w:t>
      </w:r>
    </w:p>
    <w:p>
      <w:pPr>
        <w:pStyle w:val="ListParagraph"/>
        <w:numPr>
          <w:ilvl w:val="0"/>
          <w:numId w:val="2"/>
        </w:numPr>
        <w:spacing w:before="60" w:after="60"/>
      </w:pPr>
      <w:r>
        <w:rPr>
          <w:rFonts w:ascii="Arial" w:cs="Arial" w:eastAsia="Arial" w:hAnsi="Arial"/>
          <w:color w:val="1A1A2E"/>
          <w:sz w:val="22"/>
          <w:szCs w:val="22"/>
        </w:rPr>
        <w:t xml:space="preserve">Mobile-first : interface conçue prioritairement pour smartphone, puis adaptée web.</w:t>
      </w:r>
    </w:p>
    <w:p>
      <w:pPr>
        <w:pStyle w:val="ListParagraph"/>
        <w:numPr>
          <w:ilvl w:val="0"/>
          <w:numId w:val="2"/>
        </w:numPr>
        <w:spacing w:before="60" w:after="60"/>
      </w:pPr>
      <w:r>
        <w:rPr>
          <w:rFonts w:ascii="Arial" w:cs="Arial" w:eastAsia="Arial" w:hAnsi="Arial"/>
          <w:color w:val="1A1A2E"/>
          <w:sz w:val="22"/>
          <w:szCs w:val="22"/>
        </w:rPr>
        <w:t xml:space="preserve">Simplicité : navigation intuitive, accessible aux utilisateurs peu technophiles.</w:t>
      </w:r>
    </w:p>
    <w:p>
      <w:pPr>
        <w:pStyle w:val="ListParagraph"/>
        <w:numPr>
          <w:ilvl w:val="0"/>
          <w:numId w:val="2"/>
        </w:numPr>
        <w:spacing w:before="60" w:after="60"/>
      </w:pPr>
      <w:r>
        <w:rPr>
          <w:rFonts w:ascii="Arial" w:cs="Arial" w:eastAsia="Arial" w:hAnsi="Arial"/>
          <w:color w:val="1A1A2E"/>
          <w:sz w:val="22"/>
          <w:szCs w:val="22"/>
        </w:rPr>
        <w:t xml:space="preserve">Rapidité : chargement des écrans principaux en moins de 2 secondes.</w:t>
      </w:r>
    </w:p>
    <w:p>
      <w:pPr>
        <w:pStyle w:val="ListParagraph"/>
        <w:numPr>
          <w:ilvl w:val="0"/>
          <w:numId w:val="2"/>
        </w:numPr>
        <w:spacing w:before="60" w:after="60"/>
      </w:pPr>
      <w:r>
        <w:rPr>
          <w:rFonts w:ascii="Arial" w:cs="Arial" w:eastAsia="Arial" w:hAnsi="Arial"/>
          <w:color w:val="1A1A2E"/>
          <w:sz w:val="22"/>
          <w:szCs w:val="22"/>
        </w:rPr>
        <w:t xml:space="preserve">Accessibilité : respect des normes WCAG 2.1 niveau AA.</w:t>
      </w:r>
    </w:p>
    <w:p>
      <w:pPr>
        <w:pStyle w:val="ListParagraph"/>
        <w:numPr>
          <w:ilvl w:val="0"/>
          <w:numId w:val="2"/>
        </w:numPr>
        <w:spacing w:before="60" w:after="60"/>
      </w:pPr>
      <w:r>
        <w:rPr>
          <w:rFonts w:ascii="Arial" w:cs="Arial" w:eastAsia="Arial" w:hAnsi="Arial"/>
          <w:color w:val="1A1A2E"/>
          <w:sz w:val="22"/>
          <w:szCs w:val="22"/>
        </w:rPr>
        <w:t xml:space="preserve">Multilingue : Français, Anglais, et possibilité d'ajout de langues locales.</w:t>
      </w:r>
    </w:p>
    <w:p>
      <w:pPr>
        <w:pStyle w:val="ListParagraph"/>
        <w:numPr>
          <w:ilvl w:val="0"/>
          <w:numId w:val="2"/>
        </w:numPr>
        <w:spacing w:before="60" w:after="60"/>
      </w:pPr>
      <w:r>
        <w:rPr>
          <w:rFonts w:ascii="Arial" w:cs="Arial" w:eastAsia="Arial" w:hAnsi="Arial"/>
          <w:color w:val="1A1A2E"/>
          <w:sz w:val="22"/>
          <w:szCs w:val="22"/>
        </w:rPr>
        <w:t xml:space="preserve">Mode sombre disponible sur mobile.</w:t>
      </w:r>
    </w:p>
    <w:p>
      <w:pPr>
        <w:spacing w:before="80" w:after="0"/>
      </w:pPr>
    </w:p>
    <w:p>
      <w:pPr>
        <w:pStyle w:val="Heading2"/>
        <w:spacing w:before="360" w:after="160"/>
      </w:pPr>
      <w:r>
        <w:rPr>
          <w:rFonts w:ascii="Arial" w:cs="Arial" w:eastAsia="Arial" w:hAnsi="Arial"/>
          <w:b/>
          <w:bCs/>
          <w:color w:val="0072CE"/>
          <w:sz w:val="28"/>
          <w:szCs w:val="28"/>
        </w:rPr>
        <w:t xml:space="preserve">7.2 Interfaces par Profil</w:t>
      </w:r>
    </w:p>
    <w:p>
      <w:pPr>
        <w:spacing w:before="80" w:after="120"/>
      </w:pPr>
      <w:r>
        <w:rPr>
          <w:rFonts w:ascii="Arial" w:cs="Arial" w:eastAsia="Arial" w:hAnsi="Arial"/>
          <w:color w:val="1A1A2E"/>
          <w:sz w:val="22"/>
          <w:szCs w:val="22"/>
        </w:rPr>
        <w:t xml:space="preserve">Application Mobile (Délégués Médicaux) — Écrans clés :</w:t>
      </w:r>
    </w:p>
    <w:p>
      <w:pPr>
        <w:pStyle w:val="ListParagraph"/>
        <w:numPr>
          <w:ilvl w:val="0"/>
          <w:numId w:val="2"/>
        </w:numPr>
        <w:spacing w:before="60" w:after="60"/>
      </w:pPr>
      <w:r>
        <w:rPr>
          <w:rFonts w:ascii="Arial" w:cs="Arial" w:eastAsia="Arial" w:hAnsi="Arial"/>
          <w:color w:val="1A1A2E"/>
          <w:sz w:val="22"/>
          <w:szCs w:val="22"/>
        </w:rPr>
        <w:t xml:space="preserve">Écran d'accueil : résumé du jour (visites planifiées, objectifs, dernières notifs).</w:t>
      </w:r>
    </w:p>
    <w:p>
      <w:pPr>
        <w:pStyle w:val="ListParagraph"/>
        <w:numPr>
          <w:ilvl w:val="0"/>
          <w:numId w:val="2"/>
        </w:numPr>
        <w:spacing w:before="60" w:after="60"/>
      </w:pPr>
      <w:r>
        <w:rPr>
          <w:rFonts w:ascii="Arial" w:cs="Arial" w:eastAsia="Arial" w:hAnsi="Arial"/>
          <w:color w:val="1A1A2E"/>
          <w:sz w:val="22"/>
          <w:szCs w:val="22"/>
        </w:rPr>
        <w:t xml:space="preserve">Ma Tournée : carte interactive avec itinéraire du jour et HCP à visiter.</w:t>
      </w:r>
    </w:p>
    <w:p>
      <w:pPr>
        <w:pStyle w:val="ListParagraph"/>
        <w:numPr>
          <w:ilvl w:val="0"/>
          <w:numId w:val="2"/>
        </w:numPr>
        <w:spacing w:before="60" w:after="60"/>
      </w:pPr>
      <w:r>
        <w:rPr>
          <w:rFonts w:ascii="Arial" w:cs="Arial" w:eastAsia="Arial" w:hAnsi="Arial"/>
          <w:color w:val="1A1A2E"/>
          <w:sz w:val="22"/>
          <w:szCs w:val="22"/>
        </w:rPr>
        <w:t xml:space="preserve">Rapport de visite : formulaire simplifié en 3 étapes avec auto-remplissage.</w:t>
      </w:r>
    </w:p>
    <w:p>
      <w:pPr>
        <w:pStyle w:val="ListParagraph"/>
        <w:numPr>
          <w:ilvl w:val="0"/>
          <w:numId w:val="2"/>
        </w:numPr>
        <w:spacing w:before="60" w:after="60"/>
      </w:pPr>
      <w:r>
        <w:rPr>
          <w:rFonts w:ascii="Arial" w:cs="Arial" w:eastAsia="Arial" w:hAnsi="Arial"/>
          <w:color w:val="1A1A2E"/>
          <w:sz w:val="22"/>
          <w:szCs w:val="22"/>
        </w:rPr>
        <w:t xml:space="preserve">Mes Performances : graphiques simples de progression vers les objectifs.</w:t>
      </w:r>
    </w:p>
    <w:p>
      <w:pPr>
        <w:pStyle w:val="ListParagraph"/>
        <w:numPr>
          <w:ilvl w:val="0"/>
          <w:numId w:val="2"/>
        </w:numPr>
        <w:spacing w:before="60" w:after="60"/>
      </w:pPr>
      <w:r>
        <w:rPr>
          <w:rFonts w:ascii="Arial" w:cs="Arial" w:eastAsia="Arial" w:hAnsi="Arial"/>
          <w:color w:val="1A1A2E"/>
          <w:sz w:val="22"/>
          <w:szCs w:val="22"/>
        </w:rPr>
        <w:t xml:space="preserve">Ressources : bibliothèque de contenus marketing filtrables.</w:t>
      </w:r>
    </w:p>
    <w:p>
      <w:pPr>
        <w:pStyle w:val="ListParagraph"/>
        <w:numPr>
          <w:ilvl w:val="0"/>
          <w:numId w:val="2"/>
        </w:numPr>
        <w:spacing w:before="60" w:after="60"/>
      </w:pPr>
      <w:r>
        <w:rPr>
          <w:rFonts w:ascii="Arial" w:cs="Arial" w:eastAsia="Arial" w:hAnsi="Arial"/>
          <w:color w:val="1A1A2E"/>
          <w:sz w:val="22"/>
          <w:szCs w:val="22"/>
        </w:rPr>
        <w:t xml:space="preserve">Mon compte : informations, congés, notes de frais, solde.</w:t>
      </w:r>
    </w:p>
    <w:p>
      <w:pPr>
        <w:spacing w:before="80" w:after="0"/>
      </w:pPr>
    </w:p>
    <w:p>
      <w:pPr>
        <w:spacing w:before="80" w:after="120"/>
      </w:pPr>
      <w:r>
        <w:rPr>
          <w:rFonts w:ascii="Arial" w:cs="Arial" w:eastAsia="Arial" w:hAnsi="Arial"/>
          <w:color w:val="1A1A2E"/>
          <w:sz w:val="22"/>
          <w:szCs w:val="22"/>
        </w:rPr>
        <w:t xml:space="preserve">Interface Web (Superviseurs, Marketing, Comptabilité) — Tableau de bord modulaire :</w:t>
      </w:r>
    </w:p>
    <w:p>
      <w:pPr>
        <w:pStyle w:val="ListParagraph"/>
        <w:numPr>
          <w:ilvl w:val="0"/>
          <w:numId w:val="2"/>
        </w:numPr>
        <w:spacing w:before="60" w:after="60"/>
      </w:pPr>
      <w:r>
        <w:rPr>
          <w:rFonts w:ascii="Arial" w:cs="Arial" w:eastAsia="Arial" w:hAnsi="Arial"/>
          <w:color w:val="1A1A2E"/>
          <w:sz w:val="22"/>
          <w:szCs w:val="22"/>
        </w:rPr>
        <w:t xml:space="preserve">Widget de carte temps réel avec positions de l'équipe.</w:t>
      </w:r>
    </w:p>
    <w:p>
      <w:pPr>
        <w:pStyle w:val="ListParagraph"/>
        <w:numPr>
          <w:ilvl w:val="0"/>
          <w:numId w:val="2"/>
        </w:numPr>
        <w:spacing w:before="60" w:after="60"/>
      </w:pPr>
      <w:r>
        <w:rPr>
          <w:rFonts w:ascii="Arial" w:cs="Arial" w:eastAsia="Arial" w:hAnsi="Arial"/>
          <w:color w:val="1A1A2E"/>
          <w:sz w:val="22"/>
          <w:szCs w:val="22"/>
        </w:rPr>
        <w:t xml:space="preserve">Tableaux de bord analytiques avec graphiques interactifs (Chart.js / Recharts).</w:t>
      </w:r>
    </w:p>
    <w:p>
      <w:pPr>
        <w:pStyle w:val="ListParagraph"/>
        <w:numPr>
          <w:ilvl w:val="0"/>
          <w:numId w:val="2"/>
        </w:numPr>
        <w:spacing w:before="60" w:after="60"/>
      </w:pPr>
      <w:r>
        <w:rPr>
          <w:rFonts w:ascii="Arial" w:cs="Arial" w:eastAsia="Arial" w:hAnsi="Arial"/>
          <w:color w:val="1A1A2E"/>
          <w:sz w:val="22"/>
          <w:szCs w:val="22"/>
        </w:rPr>
        <w:t xml:space="preserve">Module de validation des rapports et des frais avec workflow visuel.</w:t>
      </w:r>
    </w:p>
    <w:p>
      <w:pPr>
        <w:pStyle w:val="ListParagraph"/>
        <w:numPr>
          <w:ilvl w:val="0"/>
          <w:numId w:val="2"/>
        </w:numPr>
        <w:spacing w:before="60" w:after="60"/>
      </w:pPr>
      <w:r>
        <w:rPr>
          <w:rFonts w:ascii="Arial" w:cs="Arial" w:eastAsia="Arial" w:hAnsi="Arial"/>
          <w:color w:val="1A1A2E"/>
          <w:sz w:val="22"/>
          <w:szCs w:val="22"/>
        </w:rPr>
        <w:t xml:space="preserve">Espace de gestion des ressources et des campagnes (drag &amp; drop).</w:t>
      </w:r>
    </w:p>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8. INTÉGRATIONS &amp; API</w:t>
            </w:r>
          </w:p>
        </w:tc>
      </w:tr>
    </w:tbl>
    <w:p>
      <w:pPr>
        <w:spacing w:before="80" w:after="0"/>
      </w:pPr>
    </w:p>
    <w:p>
      <w:pPr>
        <w:pStyle w:val="Heading2"/>
        <w:spacing w:before="360" w:after="160"/>
      </w:pPr>
      <w:r>
        <w:rPr>
          <w:rFonts w:ascii="Arial" w:cs="Arial" w:eastAsia="Arial" w:hAnsi="Arial"/>
          <w:b/>
          <w:bCs/>
          <w:color w:val="0072CE"/>
          <w:sz w:val="28"/>
          <w:szCs w:val="28"/>
        </w:rPr>
        <w:t xml:space="preserve">8.1 Intégrations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1500"/>
        <w:gridCol w:w="1500"/>
      </w:tblGrid>
      <w:tr>
        <w:tc>
          <w:tcPr>
            <w:tcW w:type="dxa" w:w="28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Système</w:t>
            </w:r>
          </w:p>
        </w:tc>
        <w:tc>
          <w:tcPr>
            <w:tcW w:type="dxa" w:w="32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Objectif de l'intégration</w:t>
            </w:r>
          </w:p>
        </w:tc>
        <w:tc>
          <w:tcPr>
            <w:tcW w:type="dxa" w:w="1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Priorité</w:t>
            </w:r>
          </w:p>
        </w:tc>
        <w:tc>
          <w:tcPr>
            <w:tcW w:type="dxa" w:w="1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Phase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ERP (SAP / Sage)</w:t>
            </w:r>
          </w:p>
        </w:tc>
        <w:tc>
          <w:tcPr>
            <w:tcW w:type="dxa" w:w="3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Synchronisation des données financières et RH</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Haute</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Phase 2</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Google Maps Platform</w:t>
            </w:r>
          </w:p>
        </w:tc>
        <w:tc>
          <w:tcPr>
            <w:tcW w:type="dxa" w:w="3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Géolocalisation, routing, géocodage des HCP</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DC2626"/>
                <w:sz w:val="20"/>
                <w:szCs w:val="20"/>
              </w:rPr>
              <w:t xml:space="preserve">Critique</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Phase 1</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Email / SMTP</w:t>
            </w:r>
          </w:p>
        </w:tc>
        <w:tc>
          <w:tcPr>
            <w:tcW w:type="dxa" w:w="3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Notifications, rapports automatiques par email</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Critique</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Phase 1</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WhatsApp Business API</w:t>
            </w:r>
          </w:p>
        </w:tc>
        <w:tc>
          <w:tcPr>
            <w:tcW w:type="dxa" w:w="3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Notifications push alternatives (connectivité faible)</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D97706"/>
                <w:sz w:val="20"/>
                <w:szCs w:val="20"/>
              </w:rPr>
              <w:t xml:space="preserve">Haute</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Phase 2</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Signature électronique</w:t>
            </w:r>
          </w:p>
        </w:tc>
        <w:tc>
          <w:tcPr>
            <w:tcW w:type="dxa" w:w="3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DocuSign / YumiSign pour validation documents</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59669"/>
                <w:sz w:val="20"/>
                <w:szCs w:val="20"/>
              </w:rPr>
              <w:t xml:space="preserve">Moyenne</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Phase 3</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1A1A2E"/>
                <w:sz w:val="20"/>
                <w:szCs w:val="20"/>
              </w:rPr>
              <w:t xml:space="preserve">SSO / Active Directory</w:t>
            </w:r>
          </w:p>
        </w:tc>
        <w:tc>
          <w:tcPr>
            <w:tcW w:type="dxa" w:w="3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Authentification unique pour les utilisateurs corporate</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059669"/>
                <w:sz w:val="20"/>
                <w:szCs w:val="20"/>
              </w:rPr>
              <w:t xml:space="preserve">Moyenne</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Phase 3</w:t>
            </w:r>
          </w:p>
        </w:tc>
      </w:tr>
    </w:tbl>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9. ROADMAP &amp; PHASES DE DÉPLOIEMENT</w:t>
            </w:r>
          </w:p>
        </w:tc>
      </w:tr>
    </w:tbl>
    <w:p>
      <w:pPr>
        <w:spacing w:before="80" w:after="0"/>
      </w:pPr>
    </w:p>
    <w:p>
      <w:pPr>
        <w:spacing w:before="80" w:after="120"/>
      </w:pPr>
      <w:r>
        <w:rPr>
          <w:rFonts w:ascii="Arial" w:cs="Arial" w:eastAsia="Arial" w:hAnsi="Arial"/>
          <w:color w:val="1A1A2E"/>
          <w:sz w:val="22"/>
          <w:szCs w:val="22"/>
        </w:rPr>
        <w:t xml:space="preserve">Le déploiement de PharmaLink suit une approche agile en 3 phases pour minimiser les risques et maximiser la valeur délivrée rapidement.</w:t>
      </w:r>
    </w:p>
    <w:p>
      <w:pPr>
        <w:spacing w:before="80" w:after="0"/>
      </w:pPr>
    </w:p>
    <w:p>
      <w:pPr>
        <w:pStyle w:val="Heading2"/>
        <w:spacing w:before="360" w:after="160"/>
      </w:pPr>
      <w:r>
        <w:rPr>
          <w:rFonts w:ascii="Arial" w:cs="Arial" w:eastAsia="Arial" w:hAnsi="Arial"/>
          <w:b/>
          <w:bCs/>
          <w:color w:val="0072CE"/>
          <w:sz w:val="28"/>
          <w:szCs w:val="28"/>
        </w:rPr>
        <w:t xml:space="preserve">Phase 1 — MVP (0-6 mois) : Fondations Terrain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BEAFE" w:sz="1"/>
              <w:left w:val="single" w:color="DBEAFE" w:sz="1"/>
              <w:bottom w:val="single" w:color="DBEAFE" w:sz="1"/>
              <w:right w:val="single" w:color="DBEAFE" w:sz="1"/>
            </w:tcBorders>
            <w:shd w:fill="E8F0FA" w:val="clear"/>
            <w:tcMar>
              <w:top w:type="dxa" w:w="120"/>
              <w:left w:type="dxa" w:w="240"/>
              <w:bottom w:type="dxa" w:w="120"/>
              <w:right w:type="dxa" w:w="240"/>
            </w:tcMar>
          </w:tcPr>
          <w:p>
            <w:r>
              <w:rPr>
                <w:rFonts w:ascii="Arial" w:cs="Arial" w:eastAsia="Arial" w:hAnsi="Arial"/>
                <w:color w:val="1A1A2E"/>
                <w:sz w:val="20"/>
                <w:szCs w:val="20"/>
              </w:rPr>
              <w:t xml:space="preserve">Périmètre : Géolocalisation temps réel | Gestion des visites et rapports | Application mobile | Tableau de bord superviseur | Module notes de frais basique | Gestion des utilisateurs et des rôles</w:t>
            </w:r>
          </w:p>
          <w:p>
            <w:pPr>
              <w:spacing w:before="80"/>
            </w:pPr>
            <w:r>
              <w:rPr>
                <w:rFonts w:ascii="Arial" w:cs="Arial" w:eastAsia="Arial" w:hAnsi="Arial"/>
                <w:b/>
                <w:bCs/>
                <w:color w:val="0072CE"/>
                <w:sz w:val="20"/>
                <w:szCs w:val="20"/>
              </w:rPr>
              <w:t xml:space="preserve">Pays pilote : 1-2 pays (ex: Côte d'Ivoire + Sénégal)</w:t>
            </w:r>
          </w:p>
        </w:tc>
      </w:tr>
    </w:tbl>
    <w:p>
      <w:pPr>
        <w:spacing w:before="80" w:after="0"/>
      </w:pPr>
    </w:p>
    <w:p>
      <w:pPr>
        <w:pStyle w:val="Heading2"/>
        <w:spacing w:before="360" w:after="160"/>
      </w:pPr>
      <w:r>
        <w:rPr>
          <w:rFonts w:ascii="Arial" w:cs="Arial" w:eastAsia="Arial" w:hAnsi="Arial"/>
          <w:b/>
          <w:bCs/>
          <w:color w:val="0072CE"/>
          <w:sz w:val="28"/>
          <w:szCs w:val="28"/>
        </w:rPr>
        <w:t xml:space="preserve">Phase 2 — Extension (6-12 mois) : Accélération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BEAFE" w:sz="1"/>
              <w:left w:val="single" w:color="DBEAFE" w:sz="1"/>
              <w:bottom w:val="single" w:color="DBEAFE" w:sz="1"/>
              <w:right w:val="single" w:color="DBEAFE" w:sz="1"/>
            </w:tcBorders>
            <w:shd w:fill="E8F0FA" w:val="clear"/>
            <w:tcMar>
              <w:top w:type="dxa" w:w="120"/>
              <w:left w:type="dxa" w:w="240"/>
              <w:bottom w:type="dxa" w:w="120"/>
              <w:right w:type="dxa" w:w="240"/>
            </w:tcMar>
          </w:tcPr>
          <w:p>
            <w:r>
              <w:rPr>
                <w:rFonts w:ascii="Arial" w:cs="Arial" w:eastAsia="Arial" w:hAnsi="Arial"/>
                <w:color w:val="1A1A2E"/>
                <w:sz w:val="20"/>
                <w:szCs w:val="20"/>
              </w:rPr>
              <w:t xml:space="preserve">Périmètre : Module marketing complet | Analytics avancés | Intégration ERP | Notifications WhatsApp | Alertes geofencing | Déploiement multi-pays</w:t>
            </w:r>
          </w:p>
          <w:p>
            <w:pPr>
              <w:spacing w:before="80"/>
            </w:pPr>
            <w:r>
              <w:rPr>
                <w:rFonts w:ascii="Arial" w:cs="Arial" w:eastAsia="Arial" w:hAnsi="Arial"/>
                <w:b/>
                <w:bCs/>
                <w:color w:val="0072CE"/>
                <w:sz w:val="20"/>
                <w:szCs w:val="20"/>
              </w:rPr>
              <w:t xml:space="preserve">Extension : 4-6 pays supplémentaires</w:t>
            </w:r>
          </w:p>
        </w:tc>
      </w:tr>
    </w:tbl>
    <w:p>
      <w:pPr>
        <w:spacing w:before="80" w:after="0"/>
      </w:pPr>
    </w:p>
    <w:p>
      <w:pPr>
        <w:pStyle w:val="Heading2"/>
        <w:spacing w:before="360" w:after="160"/>
      </w:pPr>
      <w:r>
        <w:rPr>
          <w:rFonts w:ascii="Arial" w:cs="Arial" w:eastAsia="Arial" w:hAnsi="Arial"/>
          <w:b/>
          <w:bCs/>
          <w:color w:val="0072CE"/>
          <w:sz w:val="28"/>
          <w:szCs w:val="28"/>
        </w:rPr>
        <w:t xml:space="preserve">Phase 3 — Optimisation (12-24 mois) :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BEAFE" w:sz="1"/>
              <w:left w:val="single" w:color="DBEAFE" w:sz="1"/>
              <w:bottom w:val="single" w:color="DBEAFE" w:sz="1"/>
              <w:right w:val="single" w:color="DBEAFE" w:sz="1"/>
            </w:tcBorders>
            <w:shd w:fill="E8F0FA" w:val="clear"/>
            <w:tcMar>
              <w:top w:type="dxa" w:w="120"/>
              <w:left w:type="dxa" w:w="240"/>
              <w:bottom w:type="dxa" w:w="120"/>
              <w:right w:type="dxa" w:w="240"/>
            </w:tcMar>
          </w:tcPr>
          <w:p>
            <w:r>
              <w:rPr>
                <w:rFonts w:ascii="Arial" w:cs="Arial" w:eastAsia="Arial" w:hAnsi="Arial"/>
                <w:color w:val="1A1A2E"/>
                <w:sz w:val="20"/>
                <w:szCs w:val="20"/>
              </w:rPr>
              <w:t xml:space="preserve">Périmètre : IA et analyse prédictive | CLM (Closed Loop Marketing) | API publique pour partenaires | SSO Enterprise | Couverture totale du parc Prodipharm</w:t>
            </w:r>
          </w:p>
          <w:p>
            <w:pPr>
              <w:spacing w:before="80"/>
            </w:pPr>
            <w:r>
              <w:rPr>
                <w:rFonts w:ascii="Arial" w:cs="Arial" w:eastAsia="Arial" w:hAnsi="Arial"/>
                <w:b/>
                <w:bCs/>
                <w:color w:val="0072CE"/>
                <w:sz w:val="20"/>
                <w:szCs w:val="20"/>
              </w:rPr>
              <w:t xml:space="preserve">Objectif : Couverture complète du réseau Prodipharm Afrique</w:t>
            </w:r>
          </w:p>
        </w:tc>
      </w:tr>
    </w:tbl>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10. EXIGENCES NON-FONCTIONNELLES</w:t>
            </w:r>
          </w:p>
        </w:tc>
      </w:tr>
    </w:tbl>
    <w:p>
      <w:pPr>
        <w:spacing w:before="80" w:after="0"/>
      </w:pPr>
    </w:p>
    <w:p>
      <w:pPr>
        <w:pStyle w:val="Heading2"/>
        <w:spacing w:before="360" w:after="160"/>
      </w:pPr>
      <w:r>
        <w:rPr>
          <w:rFonts w:ascii="Arial" w:cs="Arial" w:eastAsia="Arial" w:hAnsi="Arial"/>
          <w:b/>
          <w:bCs/>
          <w:color w:val="0072CE"/>
          <w:sz w:val="28"/>
          <w:szCs w:val="28"/>
        </w:rPr>
        <w:t xml:space="preserve">10.1 Performance</w:t>
      </w:r>
    </w:p>
    <w:p>
      <w:pPr>
        <w:pStyle w:val="ListParagraph"/>
        <w:numPr>
          <w:ilvl w:val="0"/>
          <w:numId w:val="2"/>
        </w:numPr>
        <w:spacing w:before="60" w:after="60"/>
      </w:pPr>
      <w:r>
        <w:rPr>
          <w:rFonts w:ascii="Arial" w:cs="Arial" w:eastAsia="Arial" w:hAnsi="Arial"/>
          <w:color w:val="1A1A2E"/>
          <w:sz w:val="22"/>
          <w:szCs w:val="22"/>
        </w:rPr>
        <w:t xml:space="preserve">Temps de réponse API : &lt; 300ms pour 95% des requêtes.</w:t>
      </w:r>
    </w:p>
    <w:p>
      <w:pPr>
        <w:pStyle w:val="ListParagraph"/>
        <w:numPr>
          <w:ilvl w:val="0"/>
          <w:numId w:val="2"/>
        </w:numPr>
        <w:spacing w:before="60" w:after="60"/>
      </w:pPr>
      <w:r>
        <w:rPr>
          <w:rFonts w:ascii="Arial" w:cs="Arial" w:eastAsia="Arial" w:hAnsi="Arial"/>
          <w:color w:val="1A1A2E"/>
          <w:sz w:val="22"/>
          <w:szCs w:val="22"/>
        </w:rPr>
        <w:t xml:space="preserve">Temps de chargement initial de l'application mobile : &lt; 3 secondes (4G).</w:t>
      </w:r>
    </w:p>
    <w:p>
      <w:pPr>
        <w:pStyle w:val="ListParagraph"/>
        <w:numPr>
          <w:ilvl w:val="0"/>
          <w:numId w:val="2"/>
        </w:numPr>
        <w:spacing w:before="60" w:after="60"/>
      </w:pPr>
      <w:r>
        <w:rPr>
          <w:rFonts w:ascii="Arial" w:cs="Arial" w:eastAsia="Arial" w:hAnsi="Arial"/>
          <w:color w:val="1A1A2E"/>
          <w:sz w:val="22"/>
          <w:szCs w:val="22"/>
        </w:rPr>
        <w:t xml:space="preserve">Capacité à supporter 5 000 utilisateurs simultanés sans dégradation.</w:t>
      </w:r>
    </w:p>
    <w:p>
      <w:pPr>
        <w:pStyle w:val="ListParagraph"/>
        <w:numPr>
          <w:ilvl w:val="0"/>
          <w:numId w:val="2"/>
        </w:numPr>
        <w:spacing w:before="60" w:after="60"/>
      </w:pPr>
      <w:r>
        <w:rPr>
          <w:rFonts w:ascii="Arial" w:cs="Arial" w:eastAsia="Arial" w:hAnsi="Arial"/>
          <w:color w:val="1A1A2E"/>
          <w:sz w:val="22"/>
          <w:szCs w:val="22"/>
        </w:rPr>
        <w:t xml:space="preserve">Mise à jour de la position GPS toutes les 60 secondes en mode actif.</w:t>
      </w:r>
    </w:p>
    <w:p>
      <w:pPr>
        <w:spacing w:before="80" w:after="0"/>
      </w:pPr>
    </w:p>
    <w:p>
      <w:pPr>
        <w:pStyle w:val="Heading2"/>
        <w:spacing w:before="360" w:after="160"/>
      </w:pPr>
      <w:r>
        <w:rPr>
          <w:rFonts w:ascii="Arial" w:cs="Arial" w:eastAsia="Arial" w:hAnsi="Arial"/>
          <w:b/>
          <w:bCs/>
          <w:color w:val="0072CE"/>
          <w:sz w:val="28"/>
          <w:szCs w:val="28"/>
        </w:rPr>
        <w:t xml:space="preserve">10.2 Disponibilité &amp; Résilience</w:t>
      </w:r>
    </w:p>
    <w:p>
      <w:pPr>
        <w:pStyle w:val="ListParagraph"/>
        <w:numPr>
          <w:ilvl w:val="0"/>
          <w:numId w:val="2"/>
        </w:numPr>
        <w:spacing w:before="60" w:after="60"/>
      </w:pPr>
      <w:r>
        <w:rPr>
          <w:rFonts w:ascii="Arial" w:cs="Arial" w:eastAsia="Arial" w:hAnsi="Arial"/>
          <w:color w:val="1A1A2E"/>
          <w:sz w:val="22"/>
          <w:szCs w:val="22"/>
        </w:rPr>
        <w:t xml:space="preserve">SLA cible : 99,9% de disponibilité (&lt; 8,7 heures d'interruption par an).</w:t>
      </w:r>
    </w:p>
    <w:p>
      <w:pPr>
        <w:pStyle w:val="ListParagraph"/>
        <w:numPr>
          <w:ilvl w:val="0"/>
          <w:numId w:val="2"/>
        </w:numPr>
        <w:spacing w:before="60" w:after="60"/>
      </w:pPr>
      <w:r>
        <w:rPr>
          <w:rFonts w:ascii="Arial" w:cs="Arial" w:eastAsia="Arial" w:hAnsi="Arial"/>
          <w:color w:val="1A1A2E"/>
          <w:sz w:val="22"/>
          <w:szCs w:val="22"/>
        </w:rPr>
        <w:t xml:space="preserve">Basculement automatique (failover) en cas de panne d'une zone de disponibilité.</w:t>
      </w:r>
    </w:p>
    <w:p>
      <w:pPr>
        <w:pStyle w:val="ListParagraph"/>
        <w:numPr>
          <w:ilvl w:val="0"/>
          <w:numId w:val="2"/>
        </w:numPr>
        <w:spacing w:before="60" w:after="60"/>
      </w:pPr>
      <w:r>
        <w:rPr>
          <w:rFonts w:ascii="Arial" w:cs="Arial" w:eastAsia="Arial" w:hAnsi="Arial"/>
          <w:color w:val="1A1A2E"/>
          <w:sz w:val="22"/>
          <w:szCs w:val="22"/>
        </w:rPr>
        <w:t xml:space="preserve">Fenêtre de maintenance planifiée : dimanche 23h-02h (heure locale).</w:t>
      </w:r>
    </w:p>
    <w:p>
      <w:pPr>
        <w:pStyle w:val="ListParagraph"/>
        <w:numPr>
          <w:ilvl w:val="0"/>
          <w:numId w:val="2"/>
        </w:numPr>
        <w:spacing w:before="60" w:after="60"/>
      </w:pPr>
      <w:r>
        <w:rPr>
          <w:rFonts w:ascii="Arial" w:cs="Arial" w:eastAsia="Arial" w:hAnsi="Arial"/>
          <w:color w:val="1A1A2E"/>
          <w:sz w:val="22"/>
          <w:szCs w:val="22"/>
        </w:rPr>
        <w:t xml:space="preserve">Sauvegardes quotidiennes avec RPO &lt; 4 heures et RTO &lt; 2 heures.</w:t>
      </w:r>
    </w:p>
    <w:p>
      <w:pPr>
        <w:spacing w:before="80" w:after="0"/>
      </w:pPr>
    </w:p>
    <w:p>
      <w:pPr>
        <w:pStyle w:val="Heading2"/>
        <w:spacing w:before="360" w:after="160"/>
      </w:pPr>
      <w:r>
        <w:rPr>
          <w:rFonts w:ascii="Arial" w:cs="Arial" w:eastAsia="Arial" w:hAnsi="Arial"/>
          <w:b/>
          <w:bCs/>
          <w:color w:val="0072CE"/>
          <w:sz w:val="28"/>
          <w:szCs w:val="28"/>
        </w:rPr>
        <w:t xml:space="preserve">10.3 Scalabilité</w:t>
      </w:r>
    </w:p>
    <w:p>
      <w:pPr>
        <w:pStyle w:val="ListParagraph"/>
        <w:numPr>
          <w:ilvl w:val="0"/>
          <w:numId w:val="2"/>
        </w:numPr>
        <w:spacing w:before="60" w:after="60"/>
      </w:pPr>
      <w:r>
        <w:rPr>
          <w:rFonts w:ascii="Arial" w:cs="Arial" w:eastAsia="Arial" w:hAnsi="Arial"/>
          <w:color w:val="1A1A2E"/>
          <w:sz w:val="22"/>
          <w:szCs w:val="22"/>
        </w:rPr>
        <w:t xml:space="preserve">Architecture auto-scalable (horizontal scaling) via Kubernetes.</w:t>
      </w:r>
    </w:p>
    <w:p>
      <w:pPr>
        <w:pStyle w:val="ListParagraph"/>
        <w:numPr>
          <w:ilvl w:val="0"/>
          <w:numId w:val="2"/>
        </w:numPr>
        <w:spacing w:before="60" w:after="60"/>
      </w:pPr>
      <w:r>
        <w:rPr>
          <w:rFonts w:ascii="Arial" w:cs="Arial" w:eastAsia="Arial" w:hAnsi="Arial"/>
          <w:color w:val="1A1A2E"/>
          <w:sz w:val="22"/>
          <w:szCs w:val="22"/>
        </w:rPr>
        <w:t xml:space="preserve">Prévu pour supporter la croissance jusqu'à 20 pays et 10 000 DM actifs.</w:t>
      </w:r>
    </w:p>
    <w:p>
      <w:pPr>
        <w:pStyle w:val="ListParagraph"/>
        <w:numPr>
          <w:ilvl w:val="0"/>
          <w:numId w:val="2"/>
        </w:numPr>
        <w:spacing w:before="60" w:after="60"/>
      </w:pPr>
      <w:r>
        <w:rPr>
          <w:rFonts w:ascii="Arial" w:cs="Arial" w:eastAsia="Arial" w:hAnsi="Arial"/>
          <w:color w:val="1A1A2E"/>
          <w:sz w:val="22"/>
          <w:szCs w:val="22"/>
        </w:rPr>
        <w:t xml:space="preserve">Base de données shardable par pays pour les marchés à fort volume.</w:t>
      </w:r>
    </w:p>
    <w:p>
      <w:pPr>
        <w:spacing w:before="80" w:after="0"/>
      </w:pPr>
    </w:p>
    <w:p>
      <w:pPr>
        <w:pStyle w:val="Heading2"/>
        <w:spacing w:before="360" w:after="160"/>
      </w:pPr>
      <w:r>
        <w:rPr>
          <w:rFonts w:ascii="Arial" w:cs="Arial" w:eastAsia="Arial" w:hAnsi="Arial"/>
          <w:b/>
          <w:bCs/>
          <w:color w:val="0072CE"/>
          <w:sz w:val="28"/>
          <w:szCs w:val="28"/>
        </w:rPr>
        <w:t xml:space="preserve">10.4 Internationalisation</w:t>
      </w:r>
    </w:p>
    <w:p>
      <w:pPr>
        <w:pStyle w:val="ListParagraph"/>
        <w:numPr>
          <w:ilvl w:val="0"/>
          <w:numId w:val="2"/>
        </w:numPr>
        <w:spacing w:before="60" w:after="60"/>
      </w:pPr>
      <w:r>
        <w:rPr>
          <w:rFonts w:ascii="Arial" w:cs="Arial" w:eastAsia="Arial" w:hAnsi="Arial"/>
          <w:color w:val="1A1A2E"/>
          <w:sz w:val="22"/>
          <w:szCs w:val="22"/>
        </w:rPr>
        <w:t xml:space="preserve">Support multilingue : Français, Anglais (extensible à Arabe, Portugais).</w:t>
      </w:r>
    </w:p>
    <w:p>
      <w:pPr>
        <w:pStyle w:val="ListParagraph"/>
        <w:numPr>
          <w:ilvl w:val="0"/>
          <w:numId w:val="2"/>
        </w:numPr>
        <w:spacing w:before="60" w:after="60"/>
      </w:pPr>
      <w:r>
        <w:rPr>
          <w:rFonts w:ascii="Arial" w:cs="Arial" w:eastAsia="Arial" w:hAnsi="Arial"/>
          <w:color w:val="1A1A2E"/>
          <w:sz w:val="22"/>
          <w:szCs w:val="22"/>
        </w:rPr>
        <w:t xml:space="preserve">Gestion des fuseaux horaires par pays (GMT, WAT, EAT, etc.).</w:t>
      </w:r>
    </w:p>
    <w:p>
      <w:pPr>
        <w:pStyle w:val="ListParagraph"/>
        <w:numPr>
          <w:ilvl w:val="0"/>
          <w:numId w:val="2"/>
        </w:numPr>
        <w:spacing w:before="60" w:after="60"/>
      </w:pPr>
      <w:r>
        <w:rPr>
          <w:rFonts w:ascii="Arial" w:cs="Arial" w:eastAsia="Arial" w:hAnsi="Arial"/>
          <w:color w:val="1A1A2E"/>
          <w:sz w:val="22"/>
          <w:szCs w:val="22"/>
        </w:rPr>
        <w:t xml:space="preserve">Formats de dates et de nombres localisés par pays.</w:t>
      </w:r>
    </w:p>
    <w:p>
      <w:pPr>
        <w:pStyle w:val="ListParagraph"/>
        <w:numPr>
          <w:ilvl w:val="0"/>
          <w:numId w:val="2"/>
        </w:numPr>
        <w:spacing w:before="60" w:after="60"/>
      </w:pPr>
      <w:r>
        <w:rPr>
          <w:rFonts w:ascii="Arial" w:cs="Arial" w:eastAsia="Arial" w:hAnsi="Arial"/>
          <w:color w:val="1A1A2E"/>
          <w:sz w:val="22"/>
          <w:szCs w:val="22"/>
        </w:rPr>
        <w:t xml:space="preserve">Gestion de 20+ devises africaines avec taux de change configurables.</w:t>
      </w:r>
    </w:p>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11. CONTRAINTES ET RISQUES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00"/>
        <w:gridCol w:w="2526"/>
      </w:tblGrid>
      <w:tr>
        <w:tc>
          <w:tcPr>
            <w:tcW w:type="dxa" w:w="18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Catégorie</w:t>
            </w:r>
          </w:p>
        </w:tc>
        <w:tc>
          <w:tcPr>
            <w:tcW w:type="dxa" w:w="32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Risque identifié</w:t>
            </w:r>
          </w:p>
        </w:tc>
        <w:tc>
          <w:tcPr>
            <w:tcW w:type="dxa" w:w="15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Probabilité</w:t>
            </w:r>
          </w:p>
        </w:tc>
        <w:tc>
          <w:tcPr>
            <w:tcW w:type="dxa" w:w="25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Technique</w:t>
            </w:r>
          </w:p>
        </w:tc>
        <w:tc>
          <w:tcPr>
            <w:tcW w:type="dxa" w:w="3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Connectivité réseau insuffisante dans certaines zones</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C2626"/>
                <w:sz w:val="20"/>
                <w:szCs w:val="20"/>
              </w:rPr>
              <w:t xml:space="preserve">Élevée</w:t>
            </w:r>
          </w:p>
        </w:tc>
        <w:tc>
          <w:tcPr>
            <w:tcW w:type="dxa" w:w="2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Mode offline robuste + sync différée</w:t>
            </w:r>
          </w:p>
        </w:tc>
      </w:tr>
      <w:tr>
        <w:tc>
          <w:tcPr>
            <w:tcW w:type="dxa" w:w="1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Adoption</w:t>
            </w:r>
          </w:p>
        </w:tc>
        <w:tc>
          <w:tcPr>
            <w:tcW w:type="dxa" w:w="32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Résistance au changement des délégués terrains</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D97706"/>
                <w:sz w:val="20"/>
                <w:szCs w:val="20"/>
              </w:rPr>
              <w:t xml:space="preserve">Moyenne</w:t>
            </w:r>
          </w:p>
        </w:tc>
        <w:tc>
          <w:tcPr>
            <w:tcW w:type="dxa" w:w="2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Formation, accompagnement, UX simplifiée</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Réglementaire</w:t>
            </w:r>
          </w:p>
        </w:tc>
        <w:tc>
          <w:tcPr>
            <w:tcW w:type="dxa" w:w="3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Conformité multi-pays aux lois sur les données personnelles</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97706"/>
                <w:sz w:val="20"/>
                <w:szCs w:val="20"/>
              </w:rPr>
              <w:t xml:space="preserve">Moyenne</w:t>
            </w:r>
          </w:p>
        </w:tc>
        <w:tc>
          <w:tcPr>
            <w:tcW w:type="dxa" w:w="2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Audit légal par pays, DPO dédié</w:t>
            </w:r>
          </w:p>
        </w:tc>
      </w:tr>
      <w:tr>
        <w:tc>
          <w:tcPr>
            <w:tcW w:type="dxa" w:w="1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Sécurité</w:t>
            </w:r>
          </w:p>
        </w:tc>
        <w:tc>
          <w:tcPr>
            <w:tcW w:type="dxa" w:w="32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Fuite de données commerciales sensibles</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59669"/>
                <w:sz w:val="20"/>
                <w:szCs w:val="20"/>
              </w:rPr>
              <w:t xml:space="preserve">Faible</w:t>
            </w:r>
          </w:p>
        </w:tc>
        <w:tc>
          <w:tcPr>
            <w:tcW w:type="dxa" w:w="2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Chiffrement, RBAC, audit log</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Opérationnel</w:t>
            </w:r>
          </w:p>
        </w:tc>
        <w:tc>
          <w:tcPr>
            <w:tcW w:type="dxa" w:w="32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Qualité des données GPS en zones denses (buildings)</w:t>
            </w:r>
          </w:p>
        </w:tc>
        <w:tc>
          <w:tcPr>
            <w:tcW w:type="dxa" w:w="15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D97706"/>
                <w:sz w:val="20"/>
                <w:szCs w:val="20"/>
              </w:rPr>
              <w:t xml:space="preserve">Moyenne</w:t>
            </w:r>
          </w:p>
        </w:tc>
        <w:tc>
          <w:tcPr>
            <w:tcW w:type="dxa" w:w="25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Fused Location Provider, tolérance configurable</w:t>
            </w:r>
          </w:p>
        </w:tc>
      </w:tr>
      <w:tr>
        <w:tc>
          <w:tcPr>
            <w:tcW w:type="dxa" w:w="1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Budget</w:t>
            </w:r>
          </w:p>
        </w:tc>
        <w:tc>
          <w:tcPr>
            <w:tcW w:type="dxa" w:w="32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Dépassement des coûts cloud pour large volume de tracking</w:t>
            </w:r>
          </w:p>
        </w:tc>
        <w:tc>
          <w:tcPr>
            <w:tcW w:type="dxa" w:w="15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59669"/>
                <w:sz w:val="20"/>
                <w:szCs w:val="20"/>
              </w:rPr>
              <w:t xml:space="preserve">Faible</w:t>
            </w:r>
          </w:p>
        </w:tc>
        <w:tc>
          <w:tcPr>
            <w:tcW w:type="dxa" w:w="25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Architecture serverless, monitoring des coûts</w:t>
            </w:r>
          </w:p>
        </w:tc>
      </w:tr>
    </w:tbl>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12. MODÈLE DE DÉPLOIEMENT &amp; SUPPORT</w:t>
            </w:r>
          </w:p>
        </w:tc>
      </w:tr>
    </w:tbl>
    <w:p>
      <w:pPr>
        <w:spacing w:before="80" w:after="0"/>
      </w:pPr>
    </w:p>
    <w:p>
      <w:pPr>
        <w:pStyle w:val="Heading2"/>
        <w:spacing w:before="360" w:after="160"/>
      </w:pPr>
      <w:r>
        <w:rPr>
          <w:rFonts w:ascii="Arial" w:cs="Arial" w:eastAsia="Arial" w:hAnsi="Arial"/>
          <w:b/>
          <w:bCs/>
          <w:color w:val="0072CE"/>
          <w:sz w:val="28"/>
          <w:szCs w:val="28"/>
        </w:rPr>
        <w:t xml:space="preserve">12.1 Modèle SaaS</w:t>
      </w:r>
    </w:p>
    <w:p>
      <w:pPr>
        <w:pStyle w:val="ListParagraph"/>
        <w:numPr>
          <w:ilvl w:val="0"/>
          <w:numId w:val="2"/>
        </w:numPr>
        <w:spacing w:before="60" w:after="60"/>
      </w:pPr>
      <w:r>
        <w:rPr>
          <w:rFonts w:ascii="Arial" w:cs="Arial" w:eastAsia="Arial" w:hAnsi="Arial"/>
          <w:color w:val="1A1A2E"/>
          <w:sz w:val="22"/>
          <w:szCs w:val="22"/>
        </w:rPr>
        <w:t xml:space="preserve">Hébergement cloud géré par l'éditeur (ou équipe IT Prodipharm dédiée).</w:t>
      </w:r>
    </w:p>
    <w:p>
      <w:pPr>
        <w:pStyle w:val="ListParagraph"/>
        <w:numPr>
          <w:ilvl w:val="0"/>
          <w:numId w:val="2"/>
        </w:numPr>
        <w:spacing w:before="60" w:after="60"/>
      </w:pPr>
      <w:r>
        <w:rPr>
          <w:rFonts w:ascii="Arial" w:cs="Arial" w:eastAsia="Arial" w:hAnsi="Arial"/>
          <w:color w:val="1A1A2E"/>
          <w:sz w:val="22"/>
          <w:szCs w:val="22"/>
        </w:rPr>
        <w:t xml:space="preserve">Mises à jour continues sans interruption de service (CI/CD).</w:t>
      </w:r>
    </w:p>
    <w:p>
      <w:pPr>
        <w:pStyle w:val="ListParagraph"/>
        <w:numPr>
          <w:ilvl w:val="0"/>
          <w:numId w:val="2"/>
        </w:numPr>
        <w:spacing w:before="60" w:after="60"/>
      </w:pPr>
      <w:r>
        <w:rPr>
          <w:rFonts w:ascii="Arial" w:cs="Arial" w:eastAsia="Arial" w:hAnsi="Arial"/>
          <w:color w:val="1A1A2E"/>
          <w:sz w:val="22"/>
          <w:szCs w:val="22"/>
        </w:rPr>
        <w:t xml:space="preserve">Environnements distincts : Production, Staging, Développement.</w:t>
      </w:r>
    </w:p>
    <w:p>
      <w:pPr>
        <w:pStyle w:val="ListParagraph"/>
        <w:numPr>
          <w:ilvl w:val="0"/>
          <w:numId w:val="2"/>
        </w:numPr>
        <w:spacing w:before="60" w:after="60"/>
      </w:pPr>
      <w:r>
        <w:rPr>
          <w:rFonts w:ascii="Arial" w:cs="Arial" w:eastAsia="Arial" w:hAnsi="Arial"/>
          <w:color w:val="1A1A2E"/>
          <w:sz w:val="22"/>
          <w:szCs w:val="22"/>
        </w:rPr>
        <w:t xml:space="preserve">Accès via navigateur web (Chrome, Firefox, Safari) et apps mobiles (App Store, Play Store).</w:t>
      </w:r>
    </w:p>
    <w:p>
      <w:pPr>
        <w:spacing w:before="80" w:after="0"/>
      </w:pPr>
    </w:p>
    <w:p>
      <w:pPr>
        <w:pStyle w:val="Heading2"/>
        <w:spacing w:before="360" w:after="160"/>
      </w:pPr>
      <w:r>
        <w:rPr>
          <w:rFonts w:ascii="Arial" w:cs="Arial" w:eastAsia="Arial" w:hAnsi="Arial"/>
          <w:b/>
          <w:bCs/>
          <w:color w:val="0072CE"/>
          <w:sz w:val="28"/>
          <w:szCs w:val="28"/>
        </w:rPr>
        <w:t xml:space="preserve">12.2 Onboarding &amp; Formation</w:t>
      </w:r>
    </w:p>
    <w:p>
      <w:pPr>
        <w:pStyle w:val="ListParagraph"/>
        <w:numPr>
          <w:ilvl w:val="0"/>
          <w:numId w:val="2"/>
        </w:numPr>
        <w:spacing w:before="60" w:after="60"/>
      </w:pPr>
      <w:r>
        <w:rPr>
          <w:rFonts w:ascii="Arial" w:cs="Arial" w:eastAsia="Arial" w:hAnsi="Arial"/>
          <w:color w:val="1A1A2E"/>
          <w:sz w:val="22"/>
          <w:szCs w:val="22"/>
        </w:rPr>
        <w:t xml:space="preserve">Programme d'onboarding structuré : 2 semaines de déploiement guidé par pays pilote.</w:t>
      </w:r>
    </w:p>
    <w:p>
      <w:pPr>
        <w:pStyle w:val="ListParagraph"/>
        <w:numPr>
          <w:ilvl w:val="0"/>
          <w:numId w:val="2"/>
        </w:numPr>
        <w:spacing w:before="60" w:after="60"/>
      </w:pPr>
      <w:r>
        <w:rPr>
          <w:rFonts w:ascii="Arial" w:cs="Arial" w:eastAsia="Arial" w:hAnsi="Arial"/>
          <w:color w:val="1A1A2E"/>
          <w:sz w:val="22"/>
          <w:szCs w:val="22"/>
        </w:rPr>
        <w:t xml:space="preserve">Documentation utilisateur complète (guides PDF, vidéos tutoriels).</w:t>
      </w:r>
    </w:p>
    <w:p>
      <w:pPr>
        <w:pStyle w:val="ListParagraph"/>
        <w:numPr>
          <w:ilvl w:val="0"/>
          <w:numId w:val="2"/>
        </w:numPr>
        <w:spacing w:before="60" w:after="60"/>
      </w:pPr>
      <w:r>
        <w:rPr>
          <w:rFonts w:ascii="Arial" w:cs="Arial" w:eastAsia="Arial" w:hAnsi="Arial"/>
          <w:color w:val="1A1A2E"/>
          <w:sz w:val="22"/>
          <w:szCs w:val="22"/>
        </w:rPr>
        <w:t xml:space="preserve">Formation en présentiel pour les administrateurs et superviseurs.</w:t>
      </w:r>
    </w:p>
    <w:p>
      <w:pPr>
        <w:pStyle w:val="ListParagraph"/>
        <w:numPr>
          <w:ilvl w:val="0"/>
          <w:numId w:val="2"/>
        </w:numPr>
        <w:spacing w:before="60" w:after="60"/>
      </w:pPr>
      <w:r>
        <w:rPr>
          <w:rFonts w:ascii="Arial" w:cs="Arial" w:eastAsia="Arial" w:hAnsi="Arial"/>
          <w:color w:val="1A1A2E"/>
          <w:sz w:val="22"/>
          <w:szCs w:val="22"/>
        </w:rPr>
        <w:t xml:space="preserve">Tutoriels in-app pour les délégués médicaux (tooltips, onboarding flow).</w:t>
      </w:r>
    </w:p>
    <w:p>
      <w:pPr>
        <w:spacing w:before="80" w:after="0"/>
      </w:pPr>
    </w:p>
    <w:p>
      <w:pPr>
        <w:pStyle w:val="Heading2"/>
        <w:spacing w:before="360" w:after="160"/>
      </w:pPr>
      <w:r>
        <w:rPr>
          <w:rFonts w:ascii="Arial" w:cs="Arial" w:eastAsia="Arial" w:hAnsi="Arial"/>
          <w:b/>
          <w:bCs/>
          <w:color w:val="0072CE"/>
          <w:sz w:val="28"/>
          <w:szCs w:val="28"/>
        </w:rPr>
        <w:t xml:space="preserve">12.3 Support</w:t>
      </w:r>
    </w:p>
    <w:p>
      <w:pPr>
        <w:pStyle w:val="ListParagraph"/>
        <w:numPr>
          <w:ilvl w:val="0"/>
          <w:numId w:val="2"/>
        </w:numPr>
        <w:spacing w:before="60" w:after="60"/>
      </w:pPr>
      <w:r>
        <w:rPr>
          <w:rFonts w:ascii="Arial" w:cs="Arial" w:eastAsia="Arial" w:hAnsi="Arial"/>
          <w:color w:val="1A1A2E"/>
          <w:sz w:val="22"/>
          <w:szCs w:val="22"/>
        </w:rPr>
        <w:t xml:space="preserve">Support L1 : Centre d'aide en ligne (FAQ, base de connaissances) 24/7.</w:t>
      </w:r>
    </w:p>
    <w:p>
      <w:pPr>
        <w:pStyle w:val="ListParagraph"/>
        <w:numPr>
          <w:ilvl w:val="0"/>
          <w:numId w:val="2"/>
        </w:numPr>
        <w:spacing w:before="60" w:after="60"/>
      </w:pPr>
      <w:r>
        <w:rPr>
          <w:rFonts w:ascii="Arial" w:cs="Arial" w:eastAsia="Arial" w:hAnsi="Arial"/>
          <w:color w:val="1A1A2E"/>
          <w:sz w:val="22"/>
          <w:szCs w:val="22"/>
        </w:rPr>
        <w:t xml:space="preserve">Support L2 : Ticketing via email/chat (SLA réponse &lt; 4h en heures ouvrées).</w:t>
      </w:r>
    </w:p>
    <w:p>
      <w:pPr>
        <w:pStyle w:val="ListParagraph"/>
        <w:numPr>
          <w:ilvl w:val="0"/>
          <w:numId w:val="2"/>
        </w:numPr>
        <w:spacing w:before="60" w:after="60"/>
      </w:pPr>
      <w:r>
        <w:rPr>
          <w:rFonts w:ascii="Arial" w:cs="Arial" w:eastAsia="Arial" w:hAnsi="Arial"/>
          <w:color w:val="1A1A2E"/>
          <w:sz w:val="22"/>
          <w:szCs w:val="22"/>
        </w:rPr>
        <w:t xml:space="preserve">Support L3 : Escalade technique dédiée pour incidents critiques (SLA &lt; 1h).</w:t>
      </w:r>
    </w:p>
    <w:p>
      <w:pPr>
        <w:pStyle w:val="ListParagraph"/>
        <w:numPr>
          <w:ilvl w:val="0"/>
          <w:numId w:val="2"/>
        </w:numPr>
        <w:spacing w:before="60" w:after="60"/>
      </w:pPr>
      <w:r>
        <w:rPr>
          <w:rFonts w:ascii="Arial" w:cs="Arial" w:eastAsia="Arial" w:hAnsi="Arial"/>
          <w:color w:val="1A1A2E"/>
          <w:sz w:val="22"/>
          <w:szCs w:val="22"/>
        </w:rPr>
        <w:t xml:space="preserve">Gestionnaire de compte dédié pour Prodipharm (weekly check-in).</w:t>
      </w:r>
    </w:p>
    <w:p>
      <w:pPr>
        <w:spacing w:before="160" w:after="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03B7A" w:val="clear"/>
            <w:tcMar>
              <w:top w:type="dxa" w:w="160"/>
              <w:left w:type="dxa" w:w="240"/>
              <w:bottom w:type="dxa" w:w="160"/>
              <w:right w:type="dxa" w:w="240"/>
            </w:tcMar>
          </w:tcPr>
          <w:p>
            <w:r>
              <w:rPr>
                <w:rFonts w:ascii="Arial" w:cs="Arial" w:eastAsia="Arial" w:hAnsi="Arial"/>
                <w:b/>
                <w:bCs/>
                <w:color w:val="FFFFFF"/>
                <w:sz w:val="30"/>
                <w:szCs w:val="30"/>
              </w:rPr>
              <w:t xml:space="preserve">ANNEXE — GLOSSAIRE</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Terme</w:t>
            </w:r>
          </w:p>
        </w:tc>
        <w:tc>
          <w:tcPr>
            <w:tcW w:type="dxa" w:w="6226"/>
            <w:tcBorders>
              <w:top w:val="single" w:color="DBEAFE" w:sz="1"/>
              <w:left w:val="single" w:color="DBEAFE" w:sz="1"/>
              <w:bottom w:val="single" w:color="DBEAFE" w:sz="1"/>
              <w:right w:val="single" w:color="DBEAFE" w:sz="1"/>
            </w:tcBorders>
            <w:shd w:fill="003B7A" w:val="clear"/>
            <w:tcMar>
              <w:top w:type="dxa" w:w="100"/>
              <w:left w:type="dxa" w:w="160"/>
              <w:bottom w:type="dxa" w:w="100"/>
              <w:right w:type="dxa" w:w="160"/>
            </w:tcMar>
          </w:tcPr>
          <w:p>
            <w:r>
              <w:rPr>
                <w:rFonts w:ascii="Arial" w:cs="Arial" w:eastAsia="Arial" w:hAnsi="Arial"/>
                <w:b/>
                <w:bCs/>
                <w:color w:val="FFFFFF"/>
                <w:sz w:val="20"/>
                <w:szCs w:val="20"/>
              </w:rPr>
              <w:t xml:space="preserve">Définition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DM</w:t>
            </w:r>
          </w:p>
        </w:tc>
        <w:tc>
          <w:tcPr>
            <w:tcW w:type="dxa" w:w="6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Délégué Médical — commercial terrain de Prodipharm</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HCP</w:t>
            </w:r>
          </w:p>
        </w:tc>
        <w:tc>
          <w:tcPr>
            <w:tcW w:type="dxa" w:w="6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Healthcare Professional — professionnel de santé (médecin, pharmacien)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CRM</w:t>
            </w:r>
          </w:p>
        </w:tc>
        <w:tc>
          <w:tcPr>
            <w:tcW w:type="dxa" w:w="6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Customer Relationship Management — gestion de la relation client/HCP</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CLM</w:t>
            </w:r>
          </w:p>
        </w:tc>
        <w:tc>
          <w:tcPr>
            <w:tcW w:type="dxa" w:w="6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Closed Loop Marketing — présentation interactive sur tablette lors des visites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MVP</w:t>
            </w:r>
          </w:p>
        </w:tc>
        <w:tc>
          <w:tcPr>
            <w:tcW w:type="dxa" w:w="6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Minimum Viable Product — version minimale fonctionnelle du produit</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RBAC</w:t>
            </w:r>
          </w:p>
        </w:tc>
        <w:tc>
          <w:tcPr>
            <w:tcW w:type="dxa" w:w="6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Role-Based Access Control — contrôle d'accès basé sur les rôles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SLA</w:t>
            </w:r>
          </w:p>
        </w:tc>
        <w:tc>
          <w:tcPr>
            <w:tcW w:type="dxa" w:w="6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Service Level Agreement — accord sur le niveau de service</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RPO</w:t>
            </w:r>
          </w:p>
        </w:tc>
        <w:tc>
          <w:tcPr>
            <w:tcW w:type="dxa" w:w="6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Recovery Point Objective — perte de données maximale acceptable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RTO</w:t>
            </w:r>
          </w:p>
        </w:tc>
        <w:tc>
          <w:tcPr>
            <w:tcW w:type="dxa" w:w="6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Recovery Time Objective — délai de reprise maximal acceptable</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AMM</w:t>
            </w:r>
          </w:p>
        </w:tc>
        <w:tc>
          <w:tcPr>
            <w:tcW w:type="dxa" w:w="6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Autorisation de Mise sur le Marché — homologation pharmaceutique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PRD</w:t>
            </w:r>
          </w:p>
        </w:tc>
        <w:tc>
          <w:tcPr>
            <w:tcW w:type="dxa" w:w="6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Product Requirements Document — cahier des charges produit</w:t>
            </w:r>
          </w:p>
        </w:tc>
      </w:tr>
      <w:tr>
        <w:tc>
          <w:tcPr>
            <w:tcW w:type="dxa" w:w="2800"/>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b/>
                <w:bCs/>
                <w:color w:val="0072CE"/>
                <w:sz w:val="20"/>
                <w:szCs w:val="20"/>
              </w:rPr>
              <w:t xml:space="preserve">SaaS</w:t>
            </w:r>
          </w:p>
        </w:tc>
        <w:tc>
          <w:tcPr>
            <w:tcW w:type="dxa" w:w="6226"/>
            <w:tcBorders>
              <w:top w:val="single" w:color="DBEAFE" w:sz="1"/>
              <w:left w:val="single" w:color="DBEAFE" w:sz="1"/>
              <w:bottom w:val="single" w:color="DBEAFE" w:sz="1"/>
              <w:right w:val="single" w:color="DBEAFE" w:sz="1"/>
            </w:tcBorders>
            <w:shd w:fill="F2F4F8" w:val="clear"/>
            <w:tcMar>
              <w:top w:type="dxa" w:w="80"/>
              <w:left w:type="dxa" w:w="160"/>
              <w:bottom w:type="dxa" w:w="80"/>
              <w:right w:type="dxa" w:w="160"/>
            </w:tcMar>
          </w:tcPr>
          <w:p>
            <w:r>
              <w:rPr>
                <w:rFonts w:ascii="Arial" w:cs="Arial" w:eastAsia="Arial" w:hAnsi="Arial"/>
                <w:color w:val="1A1A2E"/>
                <w:sz w:val="20"/>
                <w:szCs w:val="20"/>
              </w:rPr>
              <w:t xml:space="preserve">Software as a Service — logiciel hébergé et distribué via internet</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b/>
                <w:bCs/>
                <w:color w:val="0072CE"/>
                <w:sz w:val="20"/>
                <w:szCs w:val="20"/>
              </w:rPr>
              <w:t xml:space="preserve">KPI</w:t>
            </w:r>
          </w:p>
        </w:tc>
        <w:tc>
          <w:tcPr>
            <w:tcW w:type="dxa" w:w="6226"/>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1A1A2E"/>
                <w:sz w:val="20"/>
                <w:szCs w:val="20"/>
              </w:rPr>
              <w:t xml:space="preserve">Key Performance Indicator — indicateur clé de performance</w:t>
            </w:r>
          </w:p>
        </w:tc>
      </w:tr>
    </w:tbl>
    <w:p>
      <w:pPr>
        <w:spacing w:before="160" w:after="0"/>
      </w:pPr>
    </w:p>
    <w:p>
      <w:pPr>
        <w:pBdr>
          <w:top w:val="single" w:color="0072CE" w:sz="4" w:space="8"/>
        </w:pBdr>
        <w:spacing w:before="200"/>
        <w:jc w:val="center"/>
      </w:pPr>
      <w:r>
        <w:rPr>
          <w:rFonts w:ascii="Arial" w:cs="Arial" w:eastAsia="Arial" w:hAnsi="Arial"/>
          <w:i/>
          <w:iCs/>
          <w:color w:val="6B7280"/>
          <w:sz w:val="18"/>
          <w:szCs w:val="18"/>
        </w:rPr>
        <w:t xml:space="preserve">PharmaLink — Confidentiel Prodipharm © 2025 — Tous droits réservés</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2CE" w:sz="2" w:space="4"/>
      </w:pBdr>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5000"/>
      <w:gridCol w:w="4386"/>
    </w:tblGrid>
    <w:tr>
      <w:tc>
        <w:tcPr>
          <w:tcW w:type="dxa" w:w="5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6B7280"/>
              <w:sz w:val="16"/>
              <w:szCs w:val="16"/>
            </w:rPr>
            <w:t xml:space="preserve">© 2025 Prodipharm — Document Confidentiel</w:t>
          </w:r>
        </w:p>
      </w:tc>
      <w:tc>
        <w:tcPr>
          <w:tcW w:type="dxa" w:w="438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16"/>
              <w:szCs w:val="16"/>
            </w:rPr>
            <w:t xml:space="preserve">Page </w:t>
          </w:r>
          <w:r>
            <w:pgNum/>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6000"/>
      <w:gridCol w:w="3386"/>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003B7A"/>
              <w:sz w:val="18"/>
              <w:szCs w:val="18"/>
            </w:rPr>
            <w:t xml:space="preserve">PRODIPHARM — Cahier des Charges SaaS</w:t>
          </w:r>
        </w:p>
      </w:tc>
      <w:tc>
        <w:tcPr>
          <w:tcW w:type="dxa" w:w="3386"/>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B7280"/>
              <w:sz w:val="16"/>
              <w:szCs w:val="16"/>
            </w:rPr>
            <w:t xml:space="preserve">PRD v1.0 — Confidentiel</w:t>
          </w:r>
        </w:p>
      </w:tc>
    </w:tr>
  </w:tbl>
  <w:p>
    <w:pPr>
      <w:pBdr>
        <w:bottom w:val="single" w:color="0072CE"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3B7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072C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2026-02-25T17:08:05.584Z</dcterms:created>
  <dcterms:modified xsi:type="dcterms:W3CDTF">2026-02-25T17:08:05.585Z</dcterms:modified>
</cp:coreProperties>
</file>

<file path=docProps/custom.xml><?xml version="1.0" encoding="utf-8"?>
<Properties xmlns="http://schemas.openxmlformats.org/officeDocument/2006/custom-properties" xmlns:vt="http://schemas.openxmlformats.org/officeDocument/2006/docPropsVTypes"/>
</file>