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Heading1"/>
      </w:pPr>
      <w:r>
        <w:lastRenderedPageBreak/>
        <w:t>Követelmények leírása</w:t>
      </w:r>
    </w:p>
    <w:p w:rsidR="00650CAD" w:rsidRDefault="00650CAD" w:rsidP="00650CAD">
      <w:pPr>
        <w:pStyle w:val="Heading2"/>
      </w:pPr>
      <w:r>
        <w:t>A követelmények leírása</w:t>
      </w:r>
    </w:p>
    <w:p w:rsidR="00754AAE" w:rsidRPr="00AE6687" w:rsidRDefault="00754AAE" w:rsidP="00754AAE">
      <w:pPr>
        <w:pStyle w:val="Heading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a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a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a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a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Heading1"/>
      </w:pPr>
      <w:r>
        <w:t>Követelmény, projekt funkcionalitás</w:t>
      </w:r>
    </w:p>
    <w:p w:rsidR="00650CAD" w:rsidRDefault="00650CAD" w:rsidP="00650CAD">
      <w:pPr>
        <w:pStyle w:val="Heading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Heading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Heading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>A fejlesztéshez Net</w:t>
      </w:r>
      <w:r w:rsidR="00F71595">
        <w:t>B</w:t>
      </w:r>
      <w:r>
        <w:t>eans 6.9.1 szoftvert választottuk. Modellezésh</w:t>
      </w:r>
      <w:r w:rsidR="00CD21E5">
        <w:t xml:space="preserve">ez a </w:t>
      </w:r>
      <w:r w:rsidR="007B0A71">
        <w:t>Visual Paradigm for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vica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</w:t>
      </w:r>
      <w:r w:rsidR="00A13665">
        <w:t>Unit csomagot fogjuk használni.</w:t>
      </w:r>
    </w:p>
    <w:p w:rsidR="00705556" w:rsidRDefault="00705556" w:rsidP="00705556">
      <w:pPr>
        <w:pStyle w:val="Heading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</w:t>
      </w:r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Heading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Heading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Heading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Heading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Heading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Heading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Heading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>modelleket foglalja magába. Ha ez készen van, elkezdhető a skeleton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Heading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>A forráskódot és minden a fejlesztés során elkészülő dokumentációt, illetve a projekthez tartozó egyéb fájlokat megegyezés alapján egy Git központi tárolóban tároljuk, melyhez a Codaset (</w:t>
      </w:r>
      <w:hyperlink r:id="rId9" w:history="1">
        <w:r w:rsidRPr="00C15C9C">
          <w:rPr>
            <w:rStyle w:val="Hyperlink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>írni, és azok sikeres lefutásáról meggyőződni. Abban az esetben, ha az alkalmazás nem fordul le, vagy valamelyik teszteset nem fut le sikeresen, az adott commit visszaállításra kerülhet annak kijavításáig</w:t>
      </w:r>
      <w:r w:rsidR="005D5AE6">
        <w:t>, melyet a ticket-</w:t>
      </w:r>
      <w:r w:rsidR="00A46014">
        <w:t>rendszerben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>és minél hatékonyabb és zökkenő</w:t>
      </w:r>
      <w:r>
        <w:t>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</w:t>
      </w:r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Heading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Heading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Heading2"/>
      </w:pPr>
      <w:bookmarkStart w:id="6" w:name="_Ref285739353"/>
      <w:r>
        <w:t>Feladatleírás</w:t>
      </w:r>
      <w:bookmarkEnd w:id="6"/>
    </w:p>
    <w:p w:rsidR="006E7F83" w:rsidRDefault="00394DA4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általunk készített alkalmazás segítségével a felhasználó egy listából kiválasztott digitális </w:t>
      </w:r>
      <w:r w:rsidRPr="00394DA4">
        <w:rPr>
          <w:i w:val="0"/>
          <w:color w:val="000000" w:themeColor="text1"/>
          <w:u w:val="single"/>
        </w:rPr>
        <w:t>áramkör</w:t>
      </w:r>
      <w:r>
        <w:rPr>
          <w:i w:val="0"/>
          <w:color w:val="000000" w:themeColor="text1"/>
        </w:rPr>
        <w:t xml:space="preserve"> </w:t>
      </w:r>
      <w:r w:rsidRPr="00394DA4">
        <w:rPr>
          <w:i w:val="0"/>
          <w:color w:val="000000" w:themeColor="text1"/>
          <w:u w:val="single"/>
        </w:rPr>
        <w:t>szimulációját</w:t>
      </w:r>
      <w:r>
        <w:rPr>
          <w:i w:val="0"/>
          <w:color w:val="000000" w:themeColor="text1"/>
        </w:rPr>
        <w:t xml:space="preserve"> végezheti el </w:t>
      </w:r>
      <w:r w:rsidRPr="00394DA4">
        <w:rPr>
          <w:i w:val="0"/>
          <w:color w:val="000000" w:themeColor="text1"/>
          <w:u w:val="single"/>
        </w:rPr>
        <w:t>grafikus</w:t>
      </w:r>
      <w:r>
        <w:rPr>
          <w:i w:val="0"/>
          <w:color w:val="000000" w:themeColor="text1"/>
        </w:rPr>
        <w:t xml:space="preserve"> megjelenítéssel. </w:t>
      </w:r>
      <w:r w:rsidR="0002583C">
        <w:rPr>
          <w:i w:val="0"/>
          <w:color w:val="000000" w:themeColor="text1"/>
        </w:rPr>
        <w:t xml:space="preserve">A program az alábbi </w:t>
      </w:r>
      <w:r w:rsidR="0002583C" w:rsidRPr="00C950FA">
        <w:rPr>
          <w:i w:val="0"/>
          <w:color w:val="000000" w:themeColor="text1"/>
          <w:u w:val="single"/>
        </w:rPr>
        <w:t>alkatrésze</w:t>
      </w:r>
      <w:r w:rsidR="0002583C">
        <w:rPr>
          <w:i w:val="0"/>
          <w:color w:val="000000" w:themeColor="text1"/>
        </w:rPr>
        <w:t xml:space="preserve">ket támogatja áramköri elemként: </w:t>
      </w:r>
      <w:r w:rsidR="0002583C" w:rsidRPr="00C950FA">
        <w:rPr>
          <w:i w:val="0"/>
          <w:color w:val="000000" w:themeColor="text1"/>
          <w:u w:val="single"/>
        </w:rPr>
        <w:t>ÉS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VAGY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I</w:t>
      </w:r>
      <w:r w:rsidR="00AA135F" w:rsidRPr="00C950FA">
        <w:rPr>
          <w:i w:val="0"/>
          <w:color w:val="000000" w:themeColor="text1"/>
          <w:u w:val="single"/>
        </w:rPr>
        <w:t>N</w:t>
      </w:r>
      <w:r w:rsidR="0002583C" w:rsidRPr="00C950FA">
        <w:rPr>
          <w:i w:val="0"/>
          <w:color w:val="000000" w:themeColor="text1"/>
          <w:u w:val="single"/>
        </w:rPr>
        <w:t>VERTER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Kijelző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Jelgenerátor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Kapcsoló</w:t>
      </w:r>
      <w:r w:rsidR="0002583C">
        <w:rPr>
          <w:i w:val="0"/>
          <w:color w:val="000000" w:themeColor="text1"/>
        </w:rPr>
        <w:t xml:space="preserve">. Ezek mindegyike egy vagy több </w:t>
      </w:r>
      <w:r w:rsidR="0002583C" w:rsidRPr="00C950FA">
        <w:rPr>
          <w:i w:val="0"/>
          <w:color w:val="000000" w:themeColor="text1"/>
          <w:u w:val="single"/>
        </w:rPr>
        <w:t>ki</w:t>
      </w:r>
      <w:r w:rsidR="00C950FA">
        <w:rPr>
          <w:i w:val="0"/>
          <w:color w:val="000000" w:themeColor="text1"/>
          <w:u w:val="single"/>
        </w:rPr>
        <w:t>-</w:t>
      </w:r>
      <w:r w:rsidR="0002583C">
        <w:rPr>
          <w:i w:val="0"/>
          <w:color w:val="000000" w:themeColor="text1"/>
        </w:rPr>
        <w:t xml:space="preserve"> és/vagy </w:t>
      </w:r>
      <w:r w:rsidR="0002583C" w:rsidRPr="00C950FA">
        <w:rPr>
          <w:i w:val="0"/>
          <w:color w:val="000000" w:themeColor="text1"/>
          <w:u w:val="single"/>
        </w:rPr>
        <w:t>bemenet</w:t>
      </w:r>
      <w:r w:rsidR="00E473FD">
        <w:rPr>
          <w:i w:val="0"/>
          <w:color w:val="000000" w:themeColor="text1"/>
        </w:rPr>
        <w:t>tel rendelkezik.</w:t>
      </w:r>
    </w:p>
    <w:p w:rsidR="00CB4D08" w:rsidRDefault="00CB4D08" w:rsidP="00705556">
      <w:pPr>
        <w:pStyle w:val="magyarazat"/>
        <w:rPr>
          <w:i w:val="0"/>
          <w:color w:val="000000" w:themeColor="text1"/>
        </w:rPr>
      </w:pPr>
    </w:p>
    <w:p w:rsidR="00E473FD" w:rsidRDefault="00E473FD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komponensek</w:t>
      </w:r>
      <w:r w:rsidR="00F11EC9">
        <w:rPr>
          <w:i w:val="0"/>
          <w:color w:val="000000" w:themeColor="text1"/>
        </w:rPr>
        <w:t xml:space="preserve"> (alkatrészek)</w:t>
      </w:r>
      <w:r>
        <w:rPr>
          <w:i w:val="0"/>
          <w:color w:val="000000" w:themeColor="text1"/>
        </w:rPr>
        <w:t xml:space="preserve"> részletezése:</w:t>
      </w:r>
    </w:p>
    <w:p w:rsidR="002925BC" w:rsidRDefault="002925BC" w:rsidP="00705556">
      <w:pPr>
        <w:pStyle w:val="magyarazat"/>
        <w:rPr>
          <w:i w:val="0"/>
          <w:color w:val="000000" w:themeColor="text1"/>
        </w:rPr>
      </w:pP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ÉS kapu kettő vagy több bemenettel és egy kimenettel rendelkezik. A kimenetre a bemenetre kötött jelek logikai ÉS kapcsolata</w:t>
      </w:r>
      <w:r w:rsidR="00AA135F">
        <w:rPr>
          <w:i w:val="0"/>
          <w:color w:val="000000" w:themeColor="text1"/>
        </w:rPr>
        <w:t xml:space="preserve"> jelenik meg</w:t>
      </w:r>
      <w:r>
        <w:rPr>
          <w:i w:val="0"/>
          <w:color w:val="000000" w:themeColor="text1"/>
        </w:rPr>
        <w:t xml:space="preserve">. </w:t>
      </w: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VAGY kapu kettő vagy több bemenettel és egy kimenettel rendelkezik. A kimenetre a bemenetre kötött jelek logika</w:t>
      </w:r>
      <w:r w:rsidR="00AA135F">
        <w:rPr>
          <w:i w:val="0"/>
          <w:color w:val="000000" w:themeColor="text1"/>
        </w:rPr>
        <w:t>i VAGY kapcsolata jelenik meg.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INVERTER egyetlen kimenetén az egyetlen bemenetére kötött jel logikai </w:t>
      </w:r>
      <w:r w:rsidRPr="00F11EC9">
        <w:rPr>
          <w:i w:val="0"/>
          <w:color w:val="000000" w:themeColor="text1"/>
          <w:u w:val="single"/>
        </w:rPr>
        <w:t>negált</w:t>
      </w:r>
      <w:r>
        <w:rPr>
          <w:i w:val="0"/>
          <w:color w:val="000000" w:themeColor="text1"/>
        </w:rPr>
        <w:t>ja jelenik meg.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Ezen elemeket általános elemként kezeljük. Működésük általános</w:t>
      </w:r>
      <w:r w:rsidR="0094055C">
        <w:rPr>
          <w:i w:val="0"/>
          <w:color w:val="000000" w:themeColor="text1"/>
        </w:rPr>
        <w:t>an</w:t>
      </w:r>
      <w:r>
        <w:rPr>
          <w:i w:val="0"/>
          <w:color w:val="000000" w:themeColor="text1"/>
        </w:rPr>
        <w:t xml:space="preserve"> annyiból áll, hogy a </w:t>
      </w:r>
      <w:r w:rsidRPr="002925BC">
        <w:rPr>
          <w:i w:val="0"/>
          <w:color w:val="000000" w:themeColor="text1"/>
        </w:rPr>
        <w:t>bemenetükre érkező logikai értéket, a megfelelő logikai művelet elvégzése után a kimenetükön továbbítják.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AA135F" w:rsidP="002925BC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komponenssel a felhasználó a bementre kötött jelet vizuális formában tudja megjeleníteni.</w:t>
      </w:r>
      <w:r w:rsidR="00E614F6">
        <w:rPr>
          <w:i w:val="0"/>
          <w:color w:val="000000" w:themeColor="text1"/>
        </w:rPr>
        <w:t xml:space="preserve"> A megjelenítő színt piros, kék, sárga közül választhat.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alkotja a komponensek második csoportját, mely a későbbiekben akár bővülhet más elemekkel (pl. hétszegmenses kijelző). Az ide tartozó elemek feladata a logikai értékek vizualizálása.</w:t>
      </w:r>
    </w:p>
    <w:p w:rsidR="002925BC" w:rsidRP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Jelgenerátor segítségével egy bitsorozatot tárolhatunk el, amelyet a szimuláció során az egyetlen kimenetén </w:t>
      </w:r>
      <w:r w:rsidRPr="00F11EC9">
        <w:rPr>
          <w:i w:val="0"/>
          <w:color w:val="000000" w:themeColor="text1"/>
          <w:u w:val="single"/>
        </w:rPr>
        <w:t>ciklikusan kiad</w:t>
      </w:r>
      <w:r>
        <w:rPr>
          <w:i w:val="0"/>
          <w:color w:val="000000" w:themeColor="text1"/>
        </w:rPr>
        <w:t>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Kapcsolónak egy kimenete van, melynek értéke a kapcsoló állásától függ. „Be” állásban igaz, „Ki” állásban hamis értékű.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harmadik csoport elemei, amiket a felhasználó </w:t>
      </w:r>
      <w:r w:rsidRPr="002925BC">
        <w:rPr>
          <w:i w:val="0"/>
          <w:color w:val="000000" w:themeColor="text1"/>
        </w:rPr>
        <w:t>érdemben</w:t>
      </w:r>
      <w:r>
        <w:rPr>
          <w:i w:val="0"/>
          <w:color w:val="000000" w:themeColor="text1"/>
        </w:rPr>
        <w:t xml:space="preserve"> tud módosítani, vagyis a változtatások kihatnak az áramkör </w:t>
      </w:r>
      <w:r w:rsidR="008703EB">
        <w:rPr>
          <w:i w:val="0"/>
          <w:color w:val="000000" w:themeColor="text1"/>
        </w:rPr>
        <w:t>viselkedésére.</w:t>
      </w:r>
    </w:p>
    <w:p w:rsidR="00CB4D08" w:rsidRDefault="00CB4D08" w:rsidP="00CB4D08">
      <w:pPr>
        <w:pStyle w:val="magyarazat"/>
        <w:ind w:left="720"/>
        <w:rPr>
          <w:i w:val="0"/>
          <w:color w:val="000000" w:themeColor="text1"/>
        </w:rPr>
      </w:pP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lastRenderedPageBreak/>
        <w:t>Az összes alkatrészr</w:t>
      </w:r>
      <w:r w:rsidR="00E614F6">
        <w:rPr>
          <w:i w:val="0"/>
          <w:color w:val="000000" w:themeColor="text1"/>
        </w:rPr>
        <w:t>e igaz, hogy nem lehet olyan bemenetük, amelyek</w:t>
      </w:r>
      <w:r>
        <w:rPr>
          <w:i w:val="0"/>
          <w:color w:val="000000" w:themeColor="text1"/>
        </w:rPr>
        <w:t xml:space="preserve"> szabadok, </w:t>
      </w:r>
      <w:r w:rsidR="00C45C88">
        <w:rPr>
          <w:i w:val="0"/>
          <w:color w:val="000000" w:themeColor="text1"/>
        </w:rPr>
        <w:t>vagyis sehova sincsenek bekötve, ellenkező esetben a szimulációt nem lehet elindítani és ezt jelzi a felhasználó felé.</w:t>
      </w:r>
    </w:p>
    <w:p w:rsidR="00E614F6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felhasználó </w:t>
      </w:r>
      <w:r w:rsidR="00E614F6">
        <w:rPr>
          <w:i w:val="0"/>
          <w:color w:val="000000" w:themeColor="text1"/>
        </w:rPr>
        <w:t>a fentebb említett alkatrészekből összeállított digitális áramkör szimulációját végezheti. Az alkatrészek és azok egymáshoz kötéseik grafikus formában</w:t>
      </w:r>
      <w:r w:rsidR="007F6144">
        <w:rPr>
          <w:i w:val="0"/>
          <w:color w:val="000000" w:themeColor="text1"/>
        </w:rPr>
        <w:t xml:space="preserve"> kerül </w:t>
      </w:r>
      <w:r w:rsidR="005C4CD9">
        <w:rPr>
          <w:i w:val="0"/>
          <w:color w:val="000000" w:themeColor="text1"/>
        </w:rPr>
        <w:t>megjelenítésre.</w:t>
      </w:r>
    </w:p>
    <w:p w:rsidR="00E614F6" w:rsidRDefault="00E614F6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szimuláció során bármelyik komponens pillanatnyi értékeit</w:t>
      </w:r>
      <w:r w:rsidR="007F6144">
        <w:rPr>
          <w:i w:val="0"/>
          <w:color w:val="000000" w:themeColor="text1"/>
        </w:rPr>
        <w:t xml:space="preserve"> a felhasználó</w:t>
      </w:r>
      <w:r>
        <w:rPr>
          <w:i w:val="0"/>
          <w:color w:val="000000" w:themeColor="text1"/>
        </w:rPr>
        <w:t xml:space="preserve"> </w:t>
      </w:r>
      <w:r w:rsidR="007F6144">
        <w:rPr>
          <w:i w:val="0"/>
          <w:color w:val="000000" w:themeColor="text1"/>
        </w:rPr>
        <w:t>lekérdezheti az alkatrészre való kattintással, ezzel egyidejűleg a szimulációt szünetelteti</w:t>
      </w:r>
      <w:r>
        <w:rPr>
          <w:i w:val="0"/>
          <w:color w:val="000000" w:themeColor="text1"/>
        </w:rPr>
        <w:t xml:space="preserve">. </w:t>
      </w:r>
      <w:r w:rsidR="005C4CD9">
        <w:rPr>
          <w:i w:val="0"/>
          <w:color w:val="000000" w:themeColor="text1"/>
        </w:rPr>
        <w:t>Az áramkör vizsgálata közben a Kapcsolók értékeit szabadon változtathatja, melye</w:t>
      </w:r>
      <w:r w:rsidR="003A09AC">
        <w:rPr>
          <w:i w:val="0"/>
          <w:color w:val="000000" w:themeColor="text1"/>
        </w:rPr>
        <w:t>k</w:t>
      </w:r>
      <w:r w:rsidR="005C4CD9">
        <w:rPr>
          <w:i w:val="0"/>
          <w:color w:val="000000" w:themeColor="text1"/>
        </w:rPr>
        <w:t xml:space="preserve"> hatása valós időben megjelenik. Szimuláció elkezdésekor az összes áramköri elem kimenete hamis értéket vesz fel. </w:t>
      </w:r>
      <w:r w:rsidR="00F116A4">
        <w:rPr>
          <w:i w:val="0"/>
          <w:color w:val="000000" w:themeColor="text1"/>
        </w:rPr>
        <w:t>Ha a vizsgálandó áramkör bizonyos idő alatt nem áll be stacionárius állapotba, változatlan bemenetek mellett, akkor ez jelzésre kerül a felhasználó számára és a szimuláció automatikusan leáll. A vizsgálat bármikor m</w:t>
      </w:r>
      <w:r w:rsidR="007C746E">
        <w:rPr>
          <w:i w:val="0"/>
          <w:color w:val="000000" w:themeColor="text1"/>
        </w:rPr>
        <w:t>egszakítható majd újraindítható, illetve a felkínált digitális áramkörök közül választhat másikat, hogy azt szimulálja.</w:t>
      </w:r>
    </w:p>
    <w:p w:rsidR="00013958" w:rsidRDefault="00013958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</w:t>
      </w:r>
      <w:r w:rsidRPr="00013958">
        <w:rPr>
          <w:i w:val="0"/>
          <w:color w:val="000000" w:themeColor="text1"/>
          <w:u w:val="single"/>
        </w:rPr>
        <w:t>szimuláció sebessége</w:t>
      </w:r>
      <w:r>
        <w:rPr>
          <w:i w:val="0"/>
          <w:color w:val="000000" w:themeColor="text1"/>
        </w:rPr>
        <w:t xml:space="preserve"> a felhasználó által konfigurálható, ezáltal a jelgenerátor kimenetein </w:t>
      </w:r>
      <w:r w:rsidR="000565D7">
        <w:rPr>
          <w:i w:val="0"/>
          <w:color w:val="000000" w:themeColor="text1"/>
        </w:rPr>
        <w:t>kiadott</w:t>
      </w:r>
      <w:r>
        <w:rPr>
          <w:i w:val="0"/>
          <w:color w:val="000000" w:themeColor="text1"/>
        </w:rPr>
        <w:t xml:space="preserve"> jelek ciklusideje változtatható.</w:t>
      </w:r>
    </w:p>
    <w:p w:rsidR="00E7223B" w:rsidRDefault="00E7223B" w:rsidP="00705556">
      <w:pPr>
        <w:pStyle w:val="magyarazat"/>
        <w:rPr>
          <w:i w:val="0"/>
          <w:color w:val="000000" w:themeColor="text1"/>
        </w:rPr>
      </w:pPr>
      <w:r w:rsidRPr="00E7223B">
        <w:rPr>
          <w:i w:val="0"/>
          <w:color w:val="000000" w:themeColor="text1"/>
        </w:rPr>
        <w:t xml:space="preserve">A kapcsolók, illetve a jelgenerátor </w:t>
      </w:r>
      <w:r>
        <w:rPr>
          <w:i w:val="0"/>
          <w:color w:val="000000" w:themeColor="text1"/>
        </w:rPr>
        <w:t>gyors és egyszerű</w:t>
      </w:r>
      <w:r w:rsidRPr="00E7223B">
        <w:rPr>
          <w:i w:val="0"/>
          <w:color w:val="000000" w:themeColor="text1"/>
        </w:rPr>
        <w:t xml:space="preserve"> </w:t>
      </w:r>
      <w:r w:rsidRPr="00E7223B">
        <w:rPr>
          <w:i w:val="0"/>
          <w:color w:val="000000" w:themeColor="text1"/>
          <w:u w:val="single"/>
        </w:rPr>
        <w:t>alap állapotba</w:t>
      </w:r>
      <w:r w:rsidRPr="00E7223B">
        <w:rPr>
          <w:i w:val="0"/>
          <w:color w:val="000000" w:themeColor="text1"/>
        </w:rPr>
        <w:t xml:space="preserve"> helyezése érdekében lehet törölni minden addig elvégzett beállítást</w:t>
      </w:r>
      <w:r>
        <w:rPr>
          <w:i w:val="0"/>
          <w:color w:val="000000" w:themeColor="text1"/>
        </w:rPr>
        <w:t xml:space="preserve"> egyetlen paranccsal</w:t>
      </w:r>
      <w:r w:rsidRPr="00E7223B">
        <w:rPr>
          <w:i w:val="0"/>
          <w:color w:val="000000" w:themeColor="text1"/>
        </w:rPr>
        <w:t>, majd elölről kezdeni az egyes elemek konfigurálását. Lehetőség lesz továbbá a konfigurálható komponensek beállításainak elmentésére illetve későbbi vissza</w:t>
      </w:r>
      <w:r>
        <w:rPr>
          <w:i w:val="0"/>
          <w:color w:val="000000" w:themeColor="text1"/>
        </w:rPr>
        <w:t>töltésére</w:t>
      </w:r>
      <w:r w:rsidRPr="00E7223B">
        <w:rPr>
          <w:i w:val="0"/>
          <w:color w:val="000000" w:themeColor="text1"/>
        </w:rPr>
        <w:t xml:space="preserve"> is. </w:t>
      </w:r>
      <w:r w:rsidR="000C3C65" w:rsidRPr="000C3C65">
        <w:rPr>
          <w:i w:val="0"/>
          <w:color w:val="000000" w:themeColor="text1"/>
        </w:rPr>
        <w:t xml:space="preserve">A konfigurációs fájl sikeres betöltődéséhez teljesülnie kell annak a feltételnek, hogy a fájlban az összes meghatározott elem szerepeljen az áramkörben, amire használni szeretnénk a beállításokat. Amennyiben nincs minden elem meghatározva a fájlban, azokat a program automatikusan alap állapotba </w:t>
      </w:r>
      <w:r w:rsidR="000C3C65">
        <w:rPr>
          <w:i w:val="0"/>
          <w:color w:val="000000" w:themeColor="text1"/>
        </w:rPr>
        <w:t>helyezi</w:t>
      </w:r>
      <w:r w:rsidR="000C3C65" w:rsidRPr="000C3C65">
        <w:rPr>
          <w:i w:val="0"/>
          <w:color w:val="000000" w:themeColor="text1"/>
        </w:rPr>
        <w:t xml:space="preserve">. Előfordulhat még, hogy a beállításokat tartalmazó fájlban olyan </w:t>
      </w:r>
      <w:bookmarkStart w:id="7" w:name="_GoBack"/>
      <w:bookmarkEnd w:id="7"/>
      <w:r w:rsidR="000C3C65" w:rsidRPr="000C3C65">
        <w:rPr>
          <w:i w:val="0"/>
          <w:color w:val="000000" w:themeColor="text1"/>
        </w:rPr>
        <w:t>elemek (is) szerepelnek, amelyek az áramkörünkben nem. Ekkor a program hibaüzenetet jelenít meg, és megszakítja a betöltés folyamatát.</w:t>
      </w:r>
    </w:p>
    <w:p w:rsidR="00705556" w:rsidRDefault="00705556" w:rsidP="00705556">
      <w:pPr>
        <w:pStyle w:val="Heading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394DA4" w:rsidRDefault="00394DA4" w:rsidP="00705556">
      <w:pPr>
        <w:pStyle w:val="magyarazat"/>
      </w:pPr>
    </w:p>
    <w:p w:rsidR="00705556" w:rsidRDefault="00705556" w:rsidP="00705556">
      <w:pPr>
        <w:pStyle w:val="Heading2"/>
      </w:pPr>
      <w:r>
        <w:t>Essential use-case-ek</w:t>
      </w:r>
    </w:p>
    <w:p w:rsidR="00705556" w:rsidRDefault="00705556" w:rsidP="00705556">
      <w:pPr>
        <w:pStyle w:val="Heading3"/>
      </w:pPr>
      <w:r>
        <w:t>Use-case diagram</w:t>
      </w:r>
    </w:p>
    <w:p w:rsidR="0006225E" w:rsidRDefault="0006225E" w:rsidP="0006225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3940AFF" wp14:editId="31768AFD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E" w:rsidRPr="0006225E" w:rsidRDefault="0006225E" w:rsidP="0006225E">
      <w:pPr>
        <w:pStyle w:val="Caption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Heading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Heading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Kriván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Dévényi A.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r>
              <w:t>Jákli G.</w:t>
            </w:r>
          </w:p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  <w:tr w:rsidR="004D789E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2011.02.17. 19:15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7F42BB">
            <w:pPr>
              <w:pStyle w:val="Standard"/>
              <w:snapToGrid w:val="0"/>
            </w:pPr>
            <w:r>
              <w:t>45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Jákli G.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Kriván B.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EC354F">
            <w:pPr>
              <w:pStyle w:val="Standard"/>
              <w:snapToGrid w:val="0"/>
            </w:pPr>
            <w:r>
              <w:t>Értekezlet. Döntések:</w:t>
            </w:r>
          </w:p>
          <w:p w:rsidR="004D789E" w:rsidRDefault="004D789E" w:rsidP="004D789E">
            <w:pPr>
              <w:pStyle w:val="Standard"/>
              <w:numPr>
                <w:ilvl w:val="0"/>
                <w:numId w:val="10"/>
              </w:numPr>
              <w:snapToGrid w:val="0"/>
            </w:pPr>
            <w:r>
              <w:t xml:space="preserve">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főbb gondolatait megfogalmaztuk, és meghatároztuk, hogy mik legyenek a mindenképpen lejegyezendő dolgok.</w:t>
            </w:r>
          </w:p>
        </w:tc>
      </w:tr>
      <w:tr w:rsidR="00D04155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2011.02.17. 20:00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7F42BB">
            <w:pPr>
              <w:pStyle w:val="Standard"/>
              <w:snapToGrid w:val="0"/>
            </w:pPr>
            <w:r>
              <w:t>50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04155">
            <w:pPr>
              <w:pStyle w:val="Standard"/>
              <w:snapToGrid w:val="0"/>
            </w:pPr>
            <w:r>
              <w:t xml:space="preserve">A megbeszéltek alapján elkezdte 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megírását.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AD" w:rsidRDefault="00782BAD" w:rsidP="00850F20">
      <w:r>
        <w:separator/>
      </w:r>
    </w:p>
  </w:endnote>
  <w:endnote w:type="continuationSeparator" w:id="0">
    <w:p w:rsidR="00782BAD" w:rsidRDefault="00782BAD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Footer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94055C">
          <w:rPr>
            <w:rFonts w:cs="Times New Roman"/>
            <w:noProof/>
          </w:rPr>
          <w:t>6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94055C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AD" w:rsidRDefault="00782BAD" w:rsidP="00850F20">
      <w:r>
        <w:separator/>
      </w:r>
    </w:p>
  </w:footnote>
  <w:footnote w:type="continuationSeparator" w:id="0">
    <w:p w:rsidR="00782BAD" w:rsidRDefault="00782BAD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Header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DAD7AA7"/>
    <w:multiLevelType w:val="hybridMultilevel"/>
    <w:tmpl w:val="5742E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823E1"/>
    <w:multiLevelType w:val="hybridMultilevel"/>
    <w:tmpl w:val="35427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13958"/>
    <w:rsid w:val="0002583C"/>
    <w:rsid w:val="000426BD"/>
    <w:rsid w:val="00047CDC"/>
    <w:rsid w:val="000565D7"/>
    <w:rsid w:val="0006225E"/>
    <w:rsid w:val="000B0F0B"/>
    <w:rsid w:val="000C2F7A"/>
    <w:rsid w:val="000C3C65"/>
    <w:rsid w:val="00187EA6"/>
    <w:rsid w:val="001E6F39"/>
    <w:rsid w:val="0021756B"/>
    <w:rsid w:val="00264E53"/>
    <w:rsid w:val="002804F8"/>
    <w:rsid w:val="002925BC"/>
    <w:rsid w:val="0029523C"/>
    <w:rsid w:val="00394DA4"/>
    <w:rsid w:val="003A09AC"/>
    <w:rsid w:val="003C219C"/>
    <w:rsid w:val="0042653B"/>
    <w:rsid w:val="00442281"/>
    <w:rsid w:val="00447484"/>
    <w:rsid w:val="004634A6"/>
    <w:rsid w:val="00490EF6"/>
    <w:rsid w:val="00497230"/>
    <w:rsid w:val="004B0913"/>
    <w:rsid w:val="004B2C6B"/>
    <w:rsid w:val="004B7470"/>
    <w:rsid w:val="004C6829"/>
    <w:rsid w:val="004D789E"/>
    <w:rsid w:val="005132DE"/>
    <w:rsid w:val="00547718"/>
    <w:rsid w:val="005635D2"/>
    <w:rsid w:val="005C4CD9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E7F83"/>
    <w:rsid w:val="006F0621"/>
    <w:rsid w:val="00705556"/>
    <w:rsid w:val="007166BD"/>
    <w:rsid w:val="00754AAE"/>
    <w:rsid w:val="00755A73"/>
    <w:rsid w:val="00782BAD"/>
    <w:rsid w:val="007B0A71"/>
    <w:rsid w:val="007C3606"/>
    <w:rsid w:val="007C746E"/>
    <w:rsid w:val="007F42BB"/>
    <w:rsid w:val="007F6144"/>
    <w:rsid w:val="0081254C"/>
    <w:rsid w:val="00825543"/>
    <w:rsid w:val="008343E6"/>
    <w:rsid w:val="00836145"/>
    <w:rsid w:val="008402D2"/>
    <w:rsid w:val="00850F20"/>
    <w:rsid w:val="008703EB"/>
    <w:rsid w:val="00880F7B"/>
    <w:rsid w:val="008F1712"/>
    <w:rsid w:val="0094055C"/>
    <w:rsid w:val="00965BD2"/>
    <w:rsid w:val="009A1F65"/>
    <w:rsid w:val="009B3FAF"/>
    <w:rsid w:val="009B7903"/>
    <w:rsid w:val="009D1B54"/>
    <w:rsid w:val="00A13665"/>
    <w:rsid w:val="00A46014"/>
    <w:rsid w:val="00A500E7"/>
    <w:rsid w:val="00AA135F"/>
    <w:rsid w:val="00AC4D95"/>
    <w:rsid w:val="00AD0426"/>
    <w:rsid w:val="00B16945"/>
    <w:rsid w:val="00B77D82"/>
    <w:rsid w:val="00BA50F2"/>
    <w:rsid w:val="00BF3EE8"/>
    <w:rsid w:val="00C11D7E"/>
    <w:rsid w:val="00C15D1E"/>
    <w:rsid w:val="00C45C88"/>
    <w:rsid w:val="00C57CBF"/>
    <w:rsid w:val="00C72320"/>
    <w:rsid w:val="00C73EFB"/>
    <w:rsid w:val="00C77810"/>
    <w:rsid w:val="00C950FA"/>
    <w:rsid w:val="00CB2E2A"/>
    <w:rsid w:val="00CB4D08"/>
    <w:rsid w:val="00CC5B04"/>
    <w:rsid w:val="00CD21E5"/>
    <w:rsid w:val="00CF56FE"/>
    <w:rsid w:val="00D04155"/>
    <w:rsid w:val="00D7466C"/>
    <w:rsid w:val="00DA7DF1"/>
    <w:rsid w:val="00DB73B5"/>
    <w:rsid w:val="00DC298C"/>
    <w:rsid w:val="00DE0C0F"/>
    <w:rsid w:val="00E473FD"/>
    <w:rsid w:val="00E56155"/>
    <w:rsid w:val="00E614F6"/>
    <w:rsid w:val="00E7223B"/>
    <w:rsid w:val="00E96629"/>
    <w:rsid w:val="00EB62D1"/>
    <w:rsid w:val="00EC354F"/>
    <w:rsid w:val="00EC65DC"/>
    <w:rsid w:val="00EE6759"/>
    <w:rsid w:val="00F116A4"/>
    <w:rsid w:val="00F11EC9"/>
    <w:rsid w:val="00F33C09"/>
    <w:rsid w:val="00F51042"/>
    <w:rsid w:val="00F71595"/>
    <w:rsid w:val="00F75C4C"/>
    <w:rsid w:val="00F86343"/>
    <w:rsid w:val="00FA7A20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36F6"/>
    <w:rPr>
      <w:b/>
      <w:bCs/>
    </w:rPr>
  </w:style>
  <w:style w:type="character" w:styleId="Emphasi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36F6"/>
  </w:style>
  <w:style w:type="paragraph" w:styleId="ListParagraph">
    <w:name w:val="List Paragraph"/>
    <w:basedOn w:val="Normal"/>
    <w:uiPriority w:val="34"/>
    <w:qFormat/>
    <w:rsid w:val="00FD36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36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F6"/>
    <w:rPr>
      <w:b/>
      <w:bCs/>
      <w:i/>
      <w:iCs/>
    </w:rPr>
  </w:style>
  <w:style w:type="character" w:styleId="SubtleEmphasis">
    <w:name w:val="Subtle Emphasis"/>
    <w:uiPriority w:val="19"/>
    <w:qFormat/>
    <w:rsid w:val="00FD36F6"/>
    <w:rPr>
      <w:i/>
      <w:iCs/>
    </w:rPr>
  </w:style>
  <w:style w:type="character" w:styleId="IntenseEmphasis">
    <w:name w:val="Intense Emphasis"/>
    <w:uiPriority w:val="21"/>
    <w:qFormat/>
    <w:rsid w:val="00FD36F6"/>
    <w:rPr>
      <w:b/>
      <w:bCs/>
    </w:rPr>
  </w:style>
  <w:style w:type="character" w:styleId="SubtleReference">
    <w:name w:val="Subtle Reference"/>
    <w:uiPriority w:val="31"/>
    <w:qFormat/>
    <w:rsid w:val="00FD36F6"/>
    <w:rPr>
      <w:smallCaps/>
    </w:rPr>
  </w:style>
  <w:style w:type="character" w:styleId="IntenseReference">
    <w:name w:val="Intense Reference"/>
    <w:uiPriority w:val="32"/>
    <w:qFormat/>
    <w:rsid w:val="00FD36F6"/>
    <w:rPr>
      <w:smallCaps/>
      <w:spacing w:val="5"/>
      <w:u w:val="single"/>
    </w:rPr>
  </w:style>
  <w:style w:type="character" w:styleId="BookTitle">
    <w:name w:val="Book Title"/>
    <w:uiPriority w:val="33"/>
    <w:qFormat/>
    <w:rsid w:val="00FD36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DefaultParagraphFont"/>
    <w:rsid w:val="00650CAD"/>
    <w:rPr>
      <w:color w:val="0000FF"/>
      <w:u w:val="single"/>
    </w:rPr>
  </w:style>
  <w:style w:type="character" w:styleId="Hyperlink">
    <w:name w:val="Hyperlink"/>
    <w:basedOn w:val="DefaultParagraphFont"/>
    <w:rsid w:val="00650CAD"/>
    <w:rPr>
      <w:color w:val="0000FF"/>
      <w:u w:val="single"/>
    </w:rPr>
  </w:style>
  <w:style w:type="paragraph" w:styleId="NormalWeb">
    <w:name w:val="Normal (Web)"/>
    <w:basedOn w:val="Standard"/>
    <w:uiPriority w:val="99"/>
    <w:rsid w:val="00754AAE"/>
    <w:pPr>
      <w:spacing w:before="280" w:after="280"/>
    </w:pPr>
  </w:style>
  <w:style w:type="paragraph" w:styleId="Header">
    <w:name w:val="header"/>
    <w:basedOn w:val="Normal"/>
    <w:link w:val="Header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F20"/>
  </w:style>
  <w:style w:type="paragraph" w:styleId="Footer">
    <w:name w:val="footer"/>
    <w:basedOn w:val="Normal"/>
    <w:link w:val="Footer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F20"/>
  </w:style>
  <w:style w:type="paragraph" w:styleId="BalloonText">
    <w:name w:val="Balloon Text"/>
    <w:basedOn w:val="Normal"/>
    <w:link w:val="BalloonText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36F6"/>
    <w:rPr>
      <w:b/>
      <w:bCs/>
    </w:rPr>
  </w:style>
  <w:style w:type="character" w:styleId="Emphasi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36F6"/>
  </w:style>
  <w:style w:type="paragraph" w:styleId="ListParagraph">
    <w:name w:val="List Paragraph"/>
    <w:basedOn w:val="Normal"/>
    <w:uiPriority w:val="34"/>
    <w:qFormat/>
    <w:rsid w:val="00FD36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36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F6"/>
    <w:rPr>
      <w:b/>
      <w:bCs/>
      <w:i/>
      <w:iCs/>
    </w:rPr>
  </w:style>
  <w:style w:type="character" w:styleId="SubtleEmphasis">
    <w:name w:val="Subtle Emphasis"/>
    <w:uiPriority w:val="19"/>
    <w:qFormat/>
    <w:rsid w:val="00FD36F6"/>
    <w:rPr>
      <w:i/>
      <w:iCs/>
    </w:rPr>
  </w:style>
  <w:style w:type="character" w:styleId="IntenseEmphasis">
    <w:name w:val="Intense Emphasis"/>
    <w:uiPriority w:val="21"/>
    <w:qFormat/>
    <w:rsid w:val="00FD36F6"/>
    <w:rPr>
      <w:b/>
      <w:bCs/>
    </w:rPr>
  </w:style>
  <w:style w:type="character" w:styleId="SubtleReference">
    <w:name w:val="Subtle Reference"/>
    <w:uiPriority w:val="31"/>
    <w:qFormat/>
    <w:rsid w:val="00FD36F6"/>
    <w:rPr>
      <w:smallCaps/>
    </w:rPr>
  </w:style>
  <w:style w:type="character" w:styleId="IntenseReference">
    <w:name w:val="Intense Reference"/>
    <w:uiPriority w:val="32"/>
    <w:qFormat/>
    <w:rsid w:val="00FD36F6"/>
    <w:rPr>
      <w:smallCaps/>
      <w:spacing w:val="5"/>
      <w:u w:val="single"/>
    </w:rPr>
  </w:style>
  <w:style w:type="character" w:styleId="BookTitle">
    <w:name w:val="Book Title"/>
    <w:uiPriority w:val="33"/>
    <w:qFormat/>
    <w:rsid w:val="00FD36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DefaultParagraphFont"/>
    <w:rsid w:val="00650CAD"/>
    <w:rPr>
      <w:color w:val="0000FF"/>
      <w:u w:val="single"/>
    </w:rPr>
  </w:style>
  <w:style w:type="character" w:styleId="Hyperlink">
    <w:name w:val="Hyperlink"/>
    <w:basedOn w:val="DefaultParagraphFont"/>
    <w:rsid w:val="00650CAD"/>
    <w:rPr>
      <w:color w:val="0000FF"/>
      <w:u w:val="single"/>
    </w:rPr>
  </w:style>
  <w:style w:type="paragraph" w:styleId="NormalWeb">
    <w:name w:val="Normal (Web)"/>
    <w:basedOn w:val="Standard"/>
    <w:uiPriority w:val="99"/>
    <w:rsid w:val="00754AAE"/>
    <w:pPr>
      <w:spacing w:before="280" w:after="280"/>
    </w:pPr>
  </w:style>
  <w:style w:type="paragraph" w:styleId="Header">
    <w:name w:val="header"/>
    <w:basedOn w:val="Normal"/>
    <w:link w:val="Header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F20"/>
  </w:style>
  <w:style w:type="paragraph" w:styleId="Footer">
    <w:name w:val="footer"/>
    <w:basedOn w:val="Normal"/>
    <w:link w:val="Footer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F20"/>
  </w:style>
  <w:style w:type="paragraph" w:styleId="BalloonText">
    <w:name w:val="Balloon Text"/>
    <w:basedOn w:val="Normal"/>
    <w:link w:val="BalloonText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6F04A-35B9-471C-B31C-F8FC2A25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1848</Words>
  <Characters>12753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Attila Dévényi</cp:lastModifiedBy>
  <cp:revision>29</cp:revision>
  <cp:lastPrinted>2011-02-17T16:31:00Z</cp:lastPrinted>
  <dcterms:created xsi:type="dcterms:W3CDTF">2011-02-17T15:49:00Z</dcterms:created>
  <dcterms:modified xsi:type="dcterms:W3CDTF">2011-02-18T00:36:00Z</dcterms:modified>
</cp:coreProperties>
</file>