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E92E" w14:textId="6A80E9C9" w:rsidR="009F5CDA" w:rsidRDefault="00DB0435">
      <w:pPr>
        <w:pStyle w:val="Title"/>
      </w:pPr>
      <w:r w:rsidRPr="00054914">
        <w:t>Google Data Analytic Capstone Project</w:t>
      </w:r>
      <w:r>
        <w:t xml:space="preserve"> </w:t>
      </w:r>
      <w:r w:rsidR="00054914">
        <w:t xml:space="preserve">- Case Study - </w:t>
      </w:r>
      <w:proofErr w:type="spellStart"/>
      <w:r>
        <w:t>Cyclistic</w:t>
      </w:r>
      <w:proofErr w:type="spellEnd"/>
      <w:r>
        <w:t xml:space="preserve"> </w:t>
      </w:r>
      <w:r w:rsidR="00054914">
        <w:t>Bikeshare</w:t>
      </w:r>
      <w:r>
        <w:t xml:space="preserve"> </w:t>
      </w:r>
    </w:p>
    <w:p w14:paraId="57443937" w14:textId="2108A805" w:rsidR="009F5CDA" w:rsidRDefault="007B1841">
      <w:r>
        <w:t xml:space="preserve">Mesula Korsa </w:t>
      </w:r>
      <w:r w:rsidR="00233C95">
        <w:t xml:space="preserve">- </w:t>
      </w:r>
      <w:r>
        <w:t>Portfolio Case Study</w:t>
      </w:r>
    </w:p>
    <w:p w14:paraId="6F53D2F6" w14:textId="506E1680" w:rsidR="009F5CDA" w:rsidRDefault="007B1841">
      <w:r>
        <w:t>Version: Portfolio Final | Date: 18 Jan 2026</w:t>
      </w:r>
    </w:p>
    <w:p w14:paraId="7DD11B5A" w14:textId="77777777" w:rsidR="009F5CDA" w:rsidRDefault="007B1841">
      <w:pPr>
        <w:pStyle w:val="Heading1"/>
      </w:pPr>
      <w:r>
        <w:t>1. Executive Summary</w:t>
      </w:r>
    </w:p>
    <w:p w14:paraId="5A1352CA" w14:textId="11723E75" w:rsidR="009F5CDA" w:rsidRDefault="007B1841">
      <w:r>
        <w:rPr>
          <w:b/>
        </w:rPr>
        <w:t>Why this matters</w:t>
      </w:r>
      <w:r>
        <w:t xml:space="preserve"> </w:t>
      </w:r>
      <w:r w:rsidR="00233C95">
        <w:t>-</w:t>
      </w:r>
      <w:r>
        <w:t xml:space="preserve"> Annual members are more profitable than casual riders. </w:t>
      </w:r>
      <w:r w:rsidR="00706982">
        <w:t>My</w:t>
      </w:r>
      <w:r>
        <w:t xml:space="preserve"> goal was to understand how behavior differs so </w:t>
      </w:r>
      <w:r w:rsidR="00706982">
        <w:t>Bikeshare</w:t>
      </w:r>
      <w:r>
        <w:t xml:space="preserve"> can convert casuals to members and improve service where it counts.</w:t>
      </w:r>
    </w:p>
    <w:p w14:paraId="325BFC68" w14:textId="4F3722F3" w:rsidR="009F5CDA" w:rsidRDefault="007B1841">
      <w:r>
        <w:rPr>
          <w:b/>
        </w:rPr>
        <w:t xml:space="preserve">What </w:t>
      </w:r>
      <w:r w:rsidR="00502C68">
        <w:rPr>
          <w:b/>
        </w:rPr>
        <w:t>results show</w:t>
      </w:r>
      <w:r>
        <w:t xml:space="preserve"> </w:t>
      </w:r>
      <w:r w:rsidR="00233C95">
        <w:t>-</w:t>
      </w:r>
      <w:r>
        <w:t xml:space="preserve"> Members account for roughly 64% of trips. Usage peaks in </w:t>
      </w:r>
      <w:r>
        <w:rPr>
          <w:b/>
        </w:rPr>
        <w:t>July–August</w:t>
      </w:r>
      <w:r>
        <w:t xml:space="preserve"> and dips in </w:t>
      </w:r>
      <w:r>
        <w:rPr>
          <w:b/>
        </w:rPr>
        <w:t>January</w:t>
      </w:r>
      <w:r>
        <w:t xml:space="preserve">. </w:t>
      </w:r>
      <w:r>
        <w:rPr>
          <w:b/>
        </w:rPr>
        <w:t>Casual</w:t>
      </w:r>
      <w:r>
        <w:t xml:space="preserve"> riders cluster on </w:t>
      </w:r>
      <w:r>
        <w:rPr>
          <w:b/>
        </w:rPr>
        <w:t>weekends</w:t>
      </w:r>
      <w:r>
        <w:t xml:space="preserve"> (leisure), while </w:t>
      </w:r>
      <w:r>
        <w:rPr>
          <w:b/>
        </w:rPr>
        <w:t>members</w:t>
      </w:r>
      <w:r>
        <w:t xml:space="preserve"> show a </w:t>
      </w:r>
      <w:r>
        <w:rPr>
          <w:b/>
        </w:rPr>
        <w:t>weekday commute</w:t>
      </w:r>
      <w:r>
        <w:t xml:space="preserve"> pattern (notably a </w:t>
      </w:r>
      <w:r>
        <w:rPr>
          <w:b/>
        </w:rPr>
        <w:t>Tuesday</w:t>
      </w:r>
      <w:r>
        <w:t xml:space="preserve"> spike). </w:t>
      </w:r>
      <w:r>
        <w:rPr>
          <w:b/>
        </w:rPr>
        <w:t>Classic &amp; electric</w:t>
      </w:r>
      <w:r>
        <w:t xml:space="preserve"> bikes dominate; </w:t>
      </w:r>
      <w:r>
        <w:rPr>
          <w:b/>
        </w:rPr>
        <w:t>docked</w:t>
      </w:r>
      <w:r>
        <w:t xml:space="preserve"> bikes are rarely used by members.</w:t>
      </w:r>
    </w:p>
    <w:p w14:paraId="0DEEE046" w14:textId="05168B33" w:rsidR="009F5CDA" w:rsidRDefault="007B1841">
      <w:r>
        <w:rPr>
          <w:b/>
        </w:rPr>
        <w:t>What to do</w:t>
      </w:r>
      <w:r>
        <w:t xml:space="preserve"> </w:t>
      </w:r>
      <w:r w:rsidR="00502C68">
        <w:t>–</w:t>
      </w:r>
      <w:r>
        <w:t xml:space="preserve"> </w:t>
      </w:r>
      <w:r w:rsidR="00502C68">
        <w:t xml:space="preserve">Bikeshare </w:t>
      </w:r>
      <w:r w:rsidR="00F25DF3">
        <w:t>needs to focus on</w:t>
      </w:r>
      <w:r>
        <w:t xml:space="preserve"> conversion during </w:t>
      </w:r>
      <w:r>
        <w:rPr>
          <w:b/>
        </w:rPr>
        <w:t>Mar–Aug</w:t>
      </w:r>
      <w:r>
        <w:t xml:space="preserve">: </w:t>
      </w:r>
      <w:proofErr w:type="gramStart"/>
      <w:r>
        <w:t>a</w:t>
      </w:r>
      <w:proofErr w:type="gramEnd"/>
      <w:r>
        <w:t xml:space="preserve"> </w:t>
      </w:r>
      <w:r>
        <w:rPr>
          <w:b/>
        </w:rPr>
        <w:t>Summer Pass → Annual</w:t>
      </w:r>
      <w:r>
        <w:t xml:space="preserve"> ladder, a </w:t>
      </w:r>
      <w:r>
        <w:rPr>
          <w:b/>
        </w:rPr>
        <w:t>Weekend‑Only</w:t>
      </w:r>
      <w:r>
        <w:t xml:space="preserve"> pilot to capture leisure demand, and a </w:t>
      </w:r>
      <w:r>
        <w:rPr>
          <w:b/>
        </w:rPr>
        <w:t>Commute bundle</w:t>
      </w:r>
      <w:r>
        <w:t xml:space="preserve"> that rewards weekday streaks. Operationally, increase </w:t>
      </w:r>
      <w:r>
        <w:rPr>
          <w:b/>
        </w:rPr>
        <w:t>e‑bike</w:t>
      </w:r>
      <w:r>
        <w:t xml:space="preserve"> availability and tighten </w:t>
      </w:r>
      <w:r>
        <w:rPr>
          <w:b/>
        </w:rPr>
        <w:t>rebalancing</w:t>
      </w:r>
      <w:r>
        <w:t xml:space="preserve"> around weekend/summer surges; reassess the role of </w:t>
      </w:r>
      <w:r>
        <w:rPr>
          <w:b/>
        </w:rPr>
        <w:t>docked</w:t>
      </w:r>
      <w:r>
        <w:t xml:space="preserve"> bikes in member‑dense areas.</w:t>
      </w:r>
    </w:p>
    <w:p w14:paraId="201EA3A4" w14:textId="77777777" w:rsidR="009F5CDA" w:rsidRDefault="007B1841">
      <w:pPr>
        <w:pStyle w:val="Heading1"/>
      </w:pPr>
      <w:r>
        <w:t>2. Data &amp; Method</w:t>
      </w:r>
    </w:p>
    <w:p w14:paraId="5278859F" w14:textId="53CC0B9E" w:rsidR="009F5CDA" w:rsidRDefault="007B1841">
      <w:r>
        <w:rPr>
          <w:b/>
        </w:rPr>
        <w:t>Data</w:t>
      </w:r>
      <w:r>
        <w:t xml:space="preserve"> </w:t>
      </w:r>
      <w:r w:rsidR="00233C95">
        <w:t>-</w:t>
      </w:r>
      <w:r>
        <w:t xml:space="preserve"> 12 monthly CSVs (Jan–Dec 2023). </w:t>
      </w:r>
      <w:r w:rsidR="00DC7210">
        <w:t>The data was</w:t>
      </w:r>
      <w:r>
        <w:t xml:space="preserve"> combined </w:t>
      </w:r>
      <w:r w:rsidR="00DC7210">
        <w:t xml:space="preserve">into one </w:t>
      </w:r>
      <w:r w:rsidR="007D2E73">
        <w:t xml:space="preserve">dataset </w:t>
      </w:r>
      <w:r w:rsidR="00DC7210">
        <w:t>within Power Query</w:t>
      </w:r>
      <w:r w:rsidR="007D2E73">
        <w:t xml:space="preserve">, </w:t>
      </w:r>
      <w:r>
        <w:t xml:space="preserve">enforced types, handled nulls, </w:t>
      </w:r>
      <w:r w:rsidR="002F72F7">
        <w:t>information</w:t>
      </w:r>
      <w:r w:rsidR="00EE5FA3">
        <w:t xml:space="preserve"> not required for analysis as well as </w:t>
      </w:r>
      <w:r>
        <w:t>outliers</w:t>
      </w:r>
      <w:r w:rsidR="00EE5FA3">
        <w:t xml:space="preserve"> have been checked and removed b</w:t>
      </w:r>
      <w:r>
        <w:t>efore modeling.</w:t>
      </w:r>
    </w:p>
    <w:p w14:paraId="74AB03B1" w14:textId="301D26D4" w:rsidR="009F5CDA" w:rsidRDefault="007B1841">
      <w:r>
        <w:rPr>
          <w:b/>
        </w:rPr>
        <w:t>Modeling</w:t>
      </w:r>
      <w:r>
        <w:t xml:space="preserve"> </w:t>
      </w:r>
      <w:r w:rsidR="00233C95">
        <w:t>-</w:t>
      </w:r>
      <w:r>
        <w:t xml:space="preserve"> A simple star schema: a Trips fact table plus Calendar and Station dimensions. DAX measures summarize member share, seasonality, day‑of‑week, and bike‑type mix.</w:t>
      </w:r>
    </w:p>
    <w:p w14:paraId="5FB9A2D2" w14:textId="7E12EDB0" w:rsidR="009F5CDA" w:rsidRDefault="007B1841">
      <w:r>
        <w:rPr>
          <w:b/>
        </w:rPr>
        <w:t>Assumptions &amp; limitations</w:t>
      </w:r>
      <w:r>
        <w:t xml:space="preserve"> </w:t>
      </w:r>
      <w:r w:rsidR="00233C95">
        <w:t xml:space="preserve">- </w:t>
      </w:r>
      <w:r>
        <w:t>The case‑study dataset lacks pricing and demographics and does not include weather. Findings reflect usage patterns rather than lifetime value or price sensitivity.</w:t>
      </w:r>
    </w:p>
    <w:p w14:paraId="7B31936F" w14:textId="290C882F" w:rsidR="00233C95" w:rsidRDefault="00233C95" w:rsidP="00233C95">
      <w:pPr>
        <w:pStyle w:val="Heading1"/>
        <w:ind w:left="720"/>
      </w:pPr>
      <w:r>
        <w:t>2.1 Data Analysis workflow and transformations</w:t>
      </w:r>
    </w:p>
    <w:p w14:paraId="6FA84680" w14:textId="77777777" w:rsidR="009F5CDA" w:rsidRDefault="007B1841">
      <w:pPr>
        <w:jc w:val="center"/>
      </w:pPr>
      <w:r>
        <w:rPr>
          <w:noProof/>
        </w:rPr>
        <w:drawing>
          <wp:inline distT="0" distB="0" distL="0" distR="0" wp14:anchorId="5D86D9F3" wp14:editId="196427A8">
            <wp:extent cx="5486400" cy="482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9224" w14:textId="77777777" w:rsidR="009F5CDA" w:rsidRDefault="007B1841">
      <w:pPr>
        <w:jc w:val="center"/>
      </w:pPr>
      <w:r>
        <w:t>Figure 1. Data analysis workflow.</w:t>
      </w:r>
    </w:p>
    <w:p w14:paraId="5BE42972" w14:textId="77777777" w:rsidR="009F5CDA" w:rsidRDefault="007B1841">
      <w:pPr>
        <w:jc w:val="center"/>
      </w:pPr>
      <w:r>
        <w:rPr>
          <w:noProof/>
        </w:rPr>
        <w:drawing>
          <wp:inline distT="0" distB="0" distL="0" distR="0" wp14:anchorId="32520C7B" wp14:editId="10B5AA38">
            <wp:extent cx="5486400" cy="25368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E75C" w14:textId="77777777" w:rsidR="009F5CDA" w:rsidRDefault="007B1841">
      <w:pPr>
        <w:jc w:val="center"/>
      </w:pPr>
      <w:r>
        <w:t>Figure 2. Power Query cleaning and transformation steps.</w:t>
      </w:r>
    </w:p>
    <w:p w14:paraId="18B6924F" w14:textId="77777777" w:rsidR="009F5CDA" w:rsidRDefault="007B1841">
      <w:pPr>
        <w:pStyle w:val="Heading1"/>
      </w:pPr>
      <w:r>
        <w:t>3. Findings</w:t>
      </w:r>
    </w:p>
    <w:p w14:paraId="2F17AB08" w14:textId="2C35E118" w:rsidR="009F5CDA" w:rsidRDefault="007B1841">
      <w:r>
        <w:rPr>
          <w:b/>
        </w:rPr>
        <w:t>3.1 Membership mix</w:t>
      </w:r>
      <w:r>
        <w:t xml:space="preserve"> (see Figure 3). Members are the majority and create a reliable base for membership</w:t>
      </w:r>
      <w:r w:rsidR="00455312">
        <w:t xml:space="preserve"> focused </w:t>
      </w:r>
      <w:r>
        <w:t>growth.</w:t>
      </w:r>
    </w:p>
    <w:p w14:paraId="3A090C93" w14:textId="77777777" w:rsidR="009F5CDA" w:rsidRDefault="007B1841">
      <w:pPr>
        <w:jc w:val="center"/>
      </w:pPr>
      <w:r>
        <w:rPr>
          <w:noProof/>
        </w:rPr>
        <w:drawing>
          <wp:inline distT="0" distB="0" distL="0" distR="0" wp14:anchorId="244FF086" wp14:editId="29CB17C7">
            <wp:extent cx="5486400" cy="2819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45DD" w14:textId="77777777" w:rsidR="009F5CDA" w:rsidRDefault="007B1841">
      <w:pPr>
        <w:jc w:val="center"/>
      </w:pPr>
      <w:r>
        <w:t>Figure 3. Share of total trips: members ~64% vs casual ~36%.</w:t>
      </w:r>
    </w:p>
    <w:p w14:paraId="5868D652" w14:textId="30DB871F" w:rsidR="009F5CDA" w:rsidRDefault="007B1841">
      <w:r>
        <w:rPr>
          <w:b/>
        </w:rPr>
        <w:t>Why it matters</w:t>
      </w:r>
      <w:r>
        <w:t xml:space="preserve"> </w:t>
      </w:r>
      <w:r w:rsidR="00233C95">
        <w:t>-</w:t>
      </w:r>
      <w:r>
        <w:t xml:space="preserve"> With most trips already from members, conversion efforts should target high‑propensity casuals rather than broad new‑user acquisition.</w:t>
      </w:r>
    </w:p>
    <w:p w14:paraId="48F2F9FB" w14:textId="5A3CA218" w:rsidR="009F5CDA" w:rsidRDefault="007B1841">
      <w:r>
        <w:rPr>
          <w:b/>
        </w:rPr>
        <w:t>3.2 Bike type preference</w:t>
      </w:r>
      <w:r>
        <w:t xml:space="preserve"> (see Figure 4). Classic &amp; electric bikes dominate; docked usage is minimal among members.</w:t>
      </w:r>
      <w:r w:rsidR="006F6F77">
        <w:t xml:space="preserve"> </w:t>
      </w:r>
    </w:p>
    <w:p w14:paraId="2C6CE521" w14:textId="77777777" w:rsidR="009F5CDA" w:rsidRDefault="007B1841">
      <w:pPr>
        <w:jc w:val="center"/>
      </w:pPr>
      <w:r>
        <w:rPr>
          <w:noProof/>
        </w:rPr>
        <w:drawing>
          <wp:inline distT="0" distB="0" distL="0" distR="0" wp14:anchorId="6F5BF1A0" wp14:editId="35517A24">
            <wp:extent cx="5486400" cy="38643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FFBF" w14:textId="77777777" w:rsidR="009F5CDA" w:rsidRDefault="007B1841">
      <w:pPr>
        <w:jc w:val="center"/>
      </w:pPr>
      <w:r>
        <w:t>Figure 4. Bike type distribution by rider type.</w:t>
      </w:r>
    </w:p>
    <w:p w14:paraId="36C63DA5" w14:textId="6F764DEF" w:rsidR="009F5CDA" w:rsidRDefault="007B1841">
      <w:r>
        <w:rPr>
          <w:b/>
        </w:rPr>
        <w:t>Why it matters</w:t>
      </w:r>
      <w:r>
        <w:t xml:space="preserve"> </w:t>
      </w:r>
      <w:r w:rsidR="000C35DB">
        <w:t xml:space="preserve">- </w:t>
      </w:r>
      <w:r>
        <w:t xml:space="preserve">Allocate more e‑bikes where commuters and weekend riders overlap; consider repurposing or phasing down docked bikes in member‑heavy </w:t>
      </w:r>
      <w:r w:rsidR="000C35DB">
        <w:t>areas</w:t>
      </w:r>
      <w:r>
        <w:t>.</w:t>
      </w:r>
    </w:p>
    <w:p w14:paraId="6E37B50F" w14:textId="77777777" w:rsidR="009F5CDA" w:rsidRDefault="007B1841">
      <w:r>
        <w:rPr>
          <w:b/>
        </w:rPr>
        <w:t>3.3 Monthly seasonality</w:t>
      </w:r>
      <w:r>
        <w:t xml:space="preserve"> (see Figure 5). Demand rises in spring, peaks mid‑summer, and dips sharply in winter.</w:t>
      </w:r>
    </w:p>
    <w:p w14:paraId="6A2A03A5" w14:textId="77777777" w:rsidR="009F5CDA" w:rsidRDefault="007B1841">
      <w:pPr>
        <w:jc w:val="center"/>
      </w:pPr>
      <w:r>
        <w:rPr>
          <w:noProof/>
        </w:rPr>
        <w:drawing>
          <wp:inline distT="0" distB="0" distL="0" distR="0" wp14:anchorId="11C78A07" wp14:editId="2F06E4F1">
            <wp:extent cx="5486400" cy="33640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D33D" w14:textId="77777777" w:rsidR="009F5CDA" w:rsidRDefault="007B1841">
      <w:pPr>
        <w:jc w:val="center"/>
      </w:pPr>
      <w:r>
        <w:t>Figure 5. Monthly trips: peak in July–August; trough in January.</w:t>
      </w:r>
    </w:p>
    <w:p w14:paraId="2DE6C67E" w14:textId="3FDD17B4" w:rsidR="009F5CDA" w:rsidRDefault="007B1841">
      <w:r>
        <w:rPr>
          <w:b/>
        </w:rPr>
        <w:t>Why it matters</w:t>
      </w:r>
      <w:r>
        <w:t xml:space="preserve"> </w:t>
      </w:r>
      <w:r w:rsidR="000C35DB">
        <w:t xml:space="preserve">- </w:t>
      </w:r>
      <w:r>
        <w:t>Concentrate campaigns in Mar–Aug; schedule maintenance and battery programs before the surge; ensure staffing and rebalancing plans match the curve.</w:t>
      </w:r>
    </w:p>
    <w:p w14:paraId="0959A8DE" w14:textId="77777777" w:rsidR="009F5CDA" w:rsidRDefault="007B1841">
      <w:r>
        <w:rPr>
          <w:b/>
        </w:rPr>
        <w:t>3.4 Day‑of‑week patterns</w:t>
      </w:r>
      <w:r>
        <w:t xml:space="preserve"> (see Figure 6). Casual: Fri–Sun (leisure); Members: weekday commute signal (Tue spike, Wed dip).</w:t>
      </w:r>
    </w:p>
    <w:p w14:paraId="4FAFFF00" w14:textId="77777777" w:rsidR="009F5CDA" w:rsidRDefault="007B1841">
      <w:pPr>
        <w:jc w:val="center"/>
      </w:pPr>
      <w:r>
        <w:rPr>
          <w:noProof/>
        </w:rPr>
        <w:drawing>
          <wp:inline distT="0" distB="0" distL="0" distR="0" wp14:anchorId="3689C672" wp14:editId="5E8ED589">
            <wp:extent cx="5486400" cy="41378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7F3D" w14:textId="77777777" w:rsidR="009F5CDA" w:rsidRDefault="007B1841">
      <w:pPr>
        <w:jc w:val="center"/>
      </w:pPr>
      <w:r>
        <w:t>Figure 6. Day‑of‑week trips by rider type.</w:t>
      </w:r>
    </w:p>
    <w:p w14:paraId="18DC11A4" w14:textId="6A2088B1" w:rsidR="009F5CDA" w:rsidRDefault="007B1841">
      <w:r>
        <w:rPr>
          <w:b/>
        </w:rPr>
        <w:t xml:space="preserve">Why it </w:t>
      </w:r>
      <w:proofErr w:type="gramStart"/>
      <w:r>
        <w:rPr>
          <w:b/>
        </w:rPr>
        <w:t>matters</w:t>
      </w:r>
      <w:r>
        <w:t xml:space="preserve"> </w:t>
      </w:r>
      <w:r w:rsidR="00363A60">
        <w:t xml:space="preserve"> -</w:t>
      </w:r>
      <w:proofErr w:type="gramEnd"/>
      <w:r w:rsidR="00363A60">
        <w:t xml:space="preserve"> </w:t>
      </w:r>
      <w:r>
        <w:t xml:space="preserve"> Offer weekend‑only pricing to capture leisure demand, while weekday bundles reinforce commuting habits.</w:t>
      </w:r>
    </w:p>
    <w:p w14:paraId="4D9D892F" w14:textId="77777777" w:rsidR="009F5CDA" w:rsidRDefault="007B1841">
      <w:r>
        <w:rPr>
          <w:b/>
        </w:rPr>
        <w:t>3.5 Member vs casual trends</w:t>
      </w:r>
      <w:r>
        <w:t xml:space="preserve"> (see Figure 7).</w:t>
      </w:r>
    </w:p>
    <w:p w14:paraId="2FA4AA4A" w14:textId="77777777" w:rsidR="009F5CDA" w:rsidRDefault="007B1841">
      <w:pPr>
        <w:jc w:val="center"/>
      </w:pPr>
      <w:r>
        <w:rPr>
          <w:noProof/>
        </w:rPr>
        <w:drawing>
          <wp:inline distT="0" distB="0" distL="0" distR="0" wp14:anchorId="28A2C59C" wp14:editId="0783A72D">
            <wp:extent cx="5486400" cy="2776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A708" w14:textId="77777777" w:rsidR="009F5CDA" w:rsidRDefault="007B1841">
      <w:pPr>
        <w:jc w:val="center"/>
      </w:pPr>
      <w:r>
        <w:t>Figure 7. Monthly trend comparison by rider type.</w:t>
      </w:r>
    </w:p>
    <w:p w14:paraId="4E85C90E" w14:textId="77777777" w:rsidR="009F5CDA" w:rsidRDefault="007B1841">
      <w:r>
        <w:rPr>
          <w:b/>
        </w:rPr>
        <w:t>3.6 Dashboard snapshot (2023)</w:t>
      </w:r>
      <w:r>
        <w:t xml:space="preserve"> (see Figure 8).</w:t>
      </w:r>
    </w:p>
    <w:p w14:paraId="7D7EEE2E" w14:textId="77777777" w:rsidR="009F5CDA" w:rsidRDefault="007B1841">
      <w:pPr>
        <w:jc w:val="center"/>
      </w:pPr>
      <w:r>
        <w:rPr>
          <w:noProof/>
        </w:rPr>
        <w:drawing>
          <wp:inline distT="0" distB="0" distL="0" distR="0" wp14:anchorId="60B110FC" wp14:editId="03E570C3">
            <wp:extent cx="5486400" cy="27990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6196" w14:textId="77777777" w:rsidR="009F5CDA" w:rsidRDefault="007B1841">
      <w:pPr>
        <w:jc w:val="center"/>
      </w:pPr>
      <w:r>
        <w:t>Figure 8. Consolidated dashboard view, 2023.</w:t>
      </w:r>
    </w:p>
    <w:p w14:paraId="36A0692C" w14:textId="77777777" w:rsidR="009F5CDA" w:rsidRDefault="007B1841">
      <w:pPr>
        <w:pStyle w:val="Heading1"/>
      </w:pPr>
      <w:r>
        <w:t>4. Discussion</w:t>
      </w:r>
    </w:p>
    <w:p w14:paraId="42EF80DF" w14:textId="0A3EE64F" w:rsidR="009F5CDA" w:rsidRDefault="007B1841">
      <w:r>
        <w:rPr>
          <w:b/>
        </w:rPr>
        <w:t>Leisure vs. commute</w:t>
      </w:r>
      <w:r>
        <w:t xml:space="preserve"> </w:t>
      </w:r>
      <w:r w:rsidR="00363A60">
        <w:t xml:space="preserve">- </w:t>
      </w:r>
      <w:r>
        <w:t>Casuals behave like weekend leisure users; members behave like commuters. Designing pricing and availability around these rhythms reduces friction and boosts perceived value.</w:t>
      </w:r>
    </w:p>
    <w:p w14:paraId="792FB437" w14:textId="4828694B" w:rsidR="009F5CDA" w:rsidRDefault="007B1841">
      <w:r>
        <w:rPr>
          <w:b/>
        </w:rPr>
        <w:t>Inventory fit</w:t>
      </w:r>
      <w:r>
        <w:t xml:space="preserve"> </w:t>
      </w:r>
      <w:r w:rsidR="00363A60">
        <w:t>-</w:t>
      </w:r>
      <w:r>
        <w:t xml:space="preserve"> Docked bikes under‑serve commuters. Keep classic/e‑bikes as the default in corridors with strong member presence; test docked repurposing (e.g., tourist bundles) in leisure zones.</w:t>
      </w:r>
    </w:p>
    <w:p w14:paraId="36218D94" w14:textId="4FD07504" w:rsidR="009F5CDA" w:rsidRDefault="007B1841">
      <w:r>
        <w:rPr>
          <w:b/>
        </w:rPr>
        <w:t>Ops alignment</w:t>
      </w:r>
      <w:r>
        <w:t xml:space="preserve"> </w:t>
      </w:r>
      <w:r w:rsidR="00363A60">
        <w:t xml:space="preserve">- </w:t>
      </w:r>
      <w:proofErr w:type="gramStart"/>
      <w:r>
        <w:t>Concentrate</w:t>
      </w:r>
      <w:proofErr w:type="gramEnd"/>
      <w:r>
        <w:t xml:space="preserve"> rebalancing where and when it matters: Fri PM/Sat AM for leisure hotspots; weekday AM/PM for commuter stations.</w:t>
      </w:r>
    </w:p>
    <w:p w14:paraId="40413A50" w14:textId="77777777" w:rsidR="009F5CDA" w:rsidRDefault="007B1841">
      <w:pPr>
        <w:pStyle w:val="Heading1"/>
      </w:pPr>
      <w:r>
        <w:t>5. Recommendations</w:t>
      </w:r>
    </w:p>
    <w:p w14:paraId="2166D6D9" w14:textId="77777777" w:rsidR="009F5CDA" w:rsidRDefault="007B1841">
      <w:r>
        <w:rPr>
          <w:b/>
        </w:rPr>
        <w:t>A) Marketing &amp; Pricing (Mar–Aug focus)</w:t>
      </w:r>
    </w:p>
    <w:p w14:paraId="014CF6C3" w14:textId="1AF5F8DA" w:rsidR="009F5CDA" w:rsidRDefault="007B1841">
      <w:r>
        <w:rPr>
          <w:b/>
        </w:rPr>
        <w:t>Summer Pass → Annual</w:t>
      </w:r>
      <w:r>
        <w:t xml:space="preserve"> </w:t>
      </w:r>
      <w:r w:rsidR="00363A60">
        <w:t>-</w:t>
      </w:r>
      <w:r>
        <w:t xml:space="preserve"> A 90‑day pass that auto‑credits toward the annual plan after N rides (e.g., 10–12). In‑app meter shows progress and savings.</w:t>
      </w:r>
    </w:p>
    <w:p w14:paraId="00A34599" w14:textId="21EC888A" w:rsidR="009F5CDA" w:rsidRDefault="007B1841">
      <w:r>
        <w:rPr>
          <w:b/>
        </w:rPr>
        <w:t>Weekend‑Only membership (pilot)</w:t>
      </w:r>
      <w:r>
        <w:t xml:space="preserve"> </w:t>
      </w:r>
      <w:r w:rsidR="00363A60">
        <w:t xml:space="preserve">- </w:t>
      </w:r>
      <w:r>
        <w:t>Lower price for Fri–Sun access. After repeated weekend rides, prompt a 1‑tap upgrade to full membership.</w:t>
      </w:r>
    </w:p>
    <w:p w14:paraId="12B1BF40" w14:textId="45C9CB55" w:rsidR="009F5CDA" w:rsidRDefault="007B1841">
      <w:r>
        <w:rPr>
          <w:b/>
        </w:rPr>
        <w:t>Commute bundle</w:t>
      </w:r>
      <w:r>
        <w:t xml:space="preserve"> </w:t>
      </w:r>
      <w:r w:rsidR="00363A60">
        <w:t xml:space="preserve">- </w:t>
      </w:r>
      <w:r>
        <w:t>Reward AM/PM streaks (e.g., 8 weekday rides/month) with credits or partner perks to reinforce habits.</w:t>
      </w:r>
    </w:p>
    <w:p w14:paraId="4802AFDC" w14:textId="77777777" w:rsidR="009F5CDA" w:rsidRDefault="007B1841">
      <w:r>
        <w:rPr>
          <w:b/>
        </w:rPr>
        <w:t>B) Service &amp; Operations</w:t>
      </w:r>
    </w:p>
    <w:p w14:paraId="2A215F8E" w14:textId="7946D9B0" w:rsidR="009F5CDA" w:rsidRDefault="007B1841">
      <w:r>
        <w:rPr>
          <w:b/>
        </w:rPr>
        <w:t>Targeted rebalancing SLAs</w:t>
      </w:r>
      <w:r>
        <w:t xml:space="preserve"> </w:t>
      </w:r>
      <w:r w:rsidR="00363A60">
        <w:t>-</w:t>
      </w:r>
      <w:r>
        <w:t xml:space="preserve"> Fri evening/Sat morning for leisure nodes; weekday AM/PM for commuter corridors.</w:t>
      </w:r>
    </w:p>
    <w:p w14:paraId="5D5B9776" w14:textId="3CFFC8A3" w:rsidR="009F5CDA" w:rsidRDefault="007B1841">
      <w:r>
        <w:rPr>
          <w:b/>
        </w:rPr>
        <w:t>E‑bike allocation</w:t>
      </w:r>
      <w:r>
        <w:t xml:space="preserve"> </w:t>
      </w:r>
      <w:r w:rsidR="00363A60">
        <w:t>-</w:t>
      </w:r>
      <w:r>
        <w:t xml:space="preserve"> Raise e‑bike share in summer and at stations with repeated stock‑outs; run a pre‑season battery‑health and maintenance sprint (Mar–Apr).</w:t>
      </w:r>
    </w:p>
    <w:p w14:paraId="1DCE71A5" w14:textId="63DE5651" w:rsidR="009F5CDA" w:rsidRDefault="007B1841">
      <w:r>
        <w:rPr>
          <w:b/>
        </w:rPr>
        <w:t>Contextual nudges</w:t>
      </w:r>
      <w:r>
        <w:t xml:space="preserve"> </w:t>
      </w:r>
      <w:r w:rsidR="00233C95">
        <w:t>-</w:t>
      </w:r>
      <w:r>
        <w:t xml:space="preserve"> On a rider’s 3rd ride in 30 days, show: “You’d have saved $X with membership.” On Fri–Sun, highlight the Weekend‑Only tier.</w:t>
      </w:r>
    </w:p>
    <w:p w14:paraId="13EA9060" w14:textId="77777777" w:rsidR="009F5CDA" w:rsidRDefault="007B1841">
      <w:r>
        <w:rPr>
          <w:b/>
        </w:rPr>
        <w:t>C) Measurement &amp; Experiments</w:t>
      </w:r>
    </w:p>
    <w:p w14:paraId="28B166A7" w14:textId="335C01B5" w:rsidR="009F5CDA" w:rsidRDefault="007B1841">
      <w:r>
        <w:rPr>
          <w:b/>
        </w:rPr>
        <w:t>Primary KPI</w:t>
      </w:r>
      <w:r>
        <w:t xml:space="preserve"> </w:t>
      </w:r>
      <w:r w:rsidR="00233C95">
        <w:t xml:space="preserve">– </w:t>
      </w:r>
      <w:r>
        <w:t>Casual</w:t>
      </w:r>
      <w:r w:rsidR="00233C95">
        <w:t xml:space="preserve"> </w:t>
      </w:r>
      <w:r>
        <w:t>→</w:t>
      </w:r>
      <w:r w:rsidR="00233C95">
        <w:t xml:space="preserve"> </w:t>
      </w:r>
      <w:r>
        <w:t>Member conversion rate (seasonal + overall).</w:t>
      </w:r>
    </w:p>
    <w:p w14:paraId="38BBDBDA" w14:textId="5A81004F" w:rsidR="009F5CDA" w:rsidRDefault="007B1841">
      <w:r>
        <w:rPr>
          <w:b/>
        </w:rPr>
        <w:t>Secondary</w:t>
      </w:r>
      <w:r>
        <w:t xml:space="preserve"> </w:t>
      </w:r>
      <w:r w:rsidR="00233C95">
        <w:t xml:space="preserve">- </w:t>
      </w:r>
      <w:r>
        <w:t xml:space="preserve">Station availability SLA and ride frequency per member; </w:t>
      </w:r>
      <w:r>
        <w:rPr>
          <w:b/>
        </w:rPr>
        <w:t>North‑</w:t>
      </w:r>
      <w:proofErr w:type="gramStart"/>
      <w:r>
        <w:rPr>
          <w:b/>
        </w:rPr>
        <w:t>star</w:t>
      </w:r>
      <w:r>
        <w:t xml:space="preserve"> </w:t>
      </w:r>
      <w:r w:rsidR="00363A60">
        <w:t xml:space="preserve"> -</w:t>
      </w:r>
      <w:proofErr w:type="gramEnd"/>
      <w:r w:rsidR="00363A60">
        <w:t xml:space="preserve"> </w:t>
      </w:r>
      <w:r>
        <w:t xml:space="preserve"> 12‑month retention/LTV (requires pricing).</w:t>
      </w:r>
    </w:p>
    <w:p w14:paraId="19EE031A" w14:textId="1E3AF963" w:rsidR="009F5CDA" w:rsidRDefault="007B1841">
      <w:r>
        <w:rPr>
          <w:b/>
        </w:rPr>
        <w:t>Experiments</w:t>
      </w:r>
      <w:r>
        <w:t xml:space="preserve"> </w:t>
      </w:r>
      <w:r w:rsidR="00233C95">
        <w:t>-</w:t>
      </w:r>
      <w:r>
        <w:t xml:space="preserve"> A/B price framing; thresholds for the Weekend‑Only upgrade; station‑level docked strategy trials; difference‑in‑differences across matched stations.</w:t>
      </w:r>
    </w:p>
    <w:p w14:paraId="5AF9CC2B" w14:textId="77777777" w:rsidR="009F5CDA" w:rsidRDefault="007B1841">
      <w:pPr>
        <w:pStyle w:val="Heading1"/>
      </w:pPr>
      <w:r>
        <w:t>6. Ethics &amp; Portfolio Notes</w:t>
      </w:r>
    </w:p>
    <w:p w14:paraId="3C1A71A7" w14:textId="77777777" w:rsidR="009F5CDA" w:rsidRDefault="007B1841">
      <w:r>
        <w:t>This public case uses the Cyclistic capstone dataset. No PHI or customer identifiers were used. For health projects, follow HIPAA de‑identification (Safe Harbor/Expert Determination) and FAIR data practices on the portfolio site.</w:t>
      </w:r>
    </w:p>
    <w:sectPr w:rsidR="009F5C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534256">
    <w:abstractNumId w:val="8"/>
  </w:num>
  <w:num w:numId="2" w16cid:durableId="235671812">
    <w:abstractNumId w:val="6"/>
  </w:num>
  <w:num w:numId="3" w16cid:durableId="1103498819">
    <w:abstractNumId w:val="5"/>
  </w:num>
  <w:num w:numId="4" w16cid:durableId="1224875198">
    <w:abstractNumId w:val="4"/>
  </w:num>
  <w:num w:numId="5" w16cid:durableId="645743624">
    <w:abstractNumId w:val="7"/>
  </w:num>
  <w:num w:numId="6" w16cid:durableId="581373342">
    <w:abstractNumId w:val="3"/>
  </w:num>
  <w:num w:numId="7" w16cid:durableId="1306816905">
    <w:abstractNumId w:val="2"/>
  </w:num>
  <w:num w:numId="8" w16cid:durableId="1851336776">
    <w:abstractNumId w:val="1"/>
  </w:num>
  <w:num w:numId="9" w16cid:durableId="204224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914"/>
    <w:rsid w:val="0006063C"/>
    <w:rsid w:val="000C35DB"/>
    <w:rsid w:val="0015074B"/>
    <w:rsid w:val="0019038C"/>
    <w:rsid w:val="0021016A"/>
    <w:rsid w:val="00233C95"/>
    <w:rsid w:val="0029639D"/>
    <w:rsid w:val="002F72F7"/>
    <w:rsid w:val="00326F90"/>
    <w:rsid w:val="003548F1"/>
    <w:rsid w:val="00363A60"/>
    <w:rsid w:val="00441611"/>
    <w:rsid w:val="00455312"/>
    <w:rsid w:val="00502C68"/>
    <w:rsid w:val="006739ED"/>
    <w:rsid w:val="006F6F77"/>
    <w:rsid w:val="00706982"/>
    <w:rsid w:val="00762848"/>
    <w:rsid w:val="007B1841"/>
    <w:rsid w:val="007D2E73"/>
    <w:rsid w:val="009F5CDA"/>
    <w:rsid w:val="00AA1D8D"/>
    <w:rsid w:val="00B145E8"/>
    <w:rsid w:val="00B47730"/>
    <w:rsid w:val="00C50C31"/>
    <w:rsid w:val="00CB0664"/>
    <w:rsid w:val="00DA4722"/>
    <w:rsid w:val="00DB0435"/>
    <w:rsid w:val="00DC28E3"/>
    <w:rsid w:val="00DC7210"/>
    <w:rsid w:val="00E92C1C"/>
    <w:rsid w:val="00EE5FA3"/>
    <w:rsid w:val="00EF0985"/>
    <w:rsid w:val="00F25D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B4D20"/>
  <w14:defaultImageDpi w14:val="300"/>
  <w15:docId w15:val="{014D172D-5ECF-411D-B96A-B6C76880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804</Words>
  <Characters>4553</Characters>
  <Application>Microsoft Office Word</Application>
  <DocSecurity>0</DocSecurity>
  <Lines>96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Korsa, Mesula</cp:lastModifiedBy>
  <cp:revision>7</cp:revision>
  <dcterms:created xsi:type="dcterms:W3CDTF">2026-01-18T02:25:00Z</dcterms:created>
  <dcterms:modified xsi:type="dcterms:W3CDTF">2026-01-18T09:08:00Z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7f9010-7f5c-4372-b4e3-91a33ea4ea32_Enabled">
    <vt:lpwstr>true</vt:lpwstr>
  </property>
  <property fmtid="{D5CDD505-2E9C-101B-9397-08002B2CF9AE}" pid="3" name="MSIP_Label_fe7f9010-7f5c-4372-b4e3-91a33ea4ea32_SetDate">
    <vt:lpwstr>2026-01-18T01:41:12Z</vt:lpwstr>
  </property>
  <property fmtid="{D5CDD505-2E9C-101B-9397-08002B2CF9AE}" pid="4" name="MSIP_Label_fe7f9010-7f5c-4372-b4e3-91a33ea4ea32_Method">
    <vt:lpwstr>Standard</vt:lpwstr>
  </property>
  <property fmtid="{D5CDD505-2E9C-101B-9397-08002B2CF9AE}" pid="5" name="MSIP_Label_fe7f9010-7f5c-4372-b4e3-91a33ea4ea32_Name">
    <vt:lpwstr>I - Internal</vt:lpwstr>
  </property>
  <property fmtid="{D5CDD505-2E9C-101B-9397-08002B2CF9AE}" pid="6" name="MSIP_Label_fe7f9010-7f5c-4372-b4e3-91a33ea4ea32_SiteId">
    <vt:lpwstr>bc0c325b-6efc-4ca8-9e46-11b50fe2aab5</vt:lpwstr>
  </property>
  <property fmtid="{D5CDD505-2E9C-101B-9397-08002B2CF9AE}" pid="7" name="MSIP_Label_fe7f9010-7f5c-4372-b4e3-91a33ea4ea32_ActionId">
    <vt:lpwstr>0b32f379-9b6b-4f53-8bb2-9ab6d5f27ffc</vt:lpwstr>
  </property>
  <property fmtid="{D5CDD505-2E9C-101B-9397-08002B2CF9AE}" pid="8" name="MSIP_Label_fe7f9010-7f5c-4372-b4e3-91a33ea4ea32_ContentBits">
    <vt:lpwstr>0</vt:lpwstr>
  </property>
  <property fmtid="{D5CDD505-2E9C-101B-9397-08002B2CF9AE}" pid="9" name="MSIP_Label_fe7f9010-7f5c-4372-b4e3-91a33ea4ea32_Tag">
    <vt:lpwstr>10, 3, 0, 1</vt:lpwstr>
  </property>
</Properties>
</file>