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/>
          <w:b/>
          <w:sz w:val="24"/>
        </w:rPr>
        <w:t>Development and Validation of the POP-PREDICT Score: A Point-Based Clinical Risk Calculator for Recurrence Following Pelvic Organ Prolapse Surgery</w:t>
      </w:r>
    </w:p>
    <w:p>
      <w:pPr>
        <w:spacing w:after="40"/>
        <w:jc w:val="center"/>
      </w:pPr>
      <w:r>
        <w:rPr>
          <w:rFonts w:ascii="Times New Roman" w:hAnsi="Times New Roman"/>
          <w:sz w:val="24"/>
        </w:rPr>
        <w:t>Sullivan M, MD</w:t>
      </w:r>
      <w:r>
        <w:rPr>
          <w:rFonts w:ascii="Times New Roman" w:hAnsi="Times New Roman"/>
          <w:sz w:val="24"/>
          <w:vertAlign w:val="superscript"/>
        </w:rPr>
        <w:t>¹</w:t>
      </w:r>
      <w:r>
        <w:rPr>
          <w:rFonts w:ascii="Times New Roman" w:hAnsi="Times New Roman"/>
          <w:sz w:val="24"/>
        </w:rPr>
        <w:t>; Kim S</w:t>
      </w:r>
      <w:r>
        <w:rPr>
          <w:rFonts w:ascii="Times New Roman" w:hAnsi="Times New Roman"/>
          <w:sz w:val="24"/>
          <w:vertAlign w:val="superscript"/>
        </w:rPr>
        <w:t>¹</w:t>
      </w:r>
      <w:r>
        <w:rPr>
          <w:rFonts w:ascii="Times New Roman" w:hAnsi="Times New Roman"/>
          <w:sz w:val="24"/>
        </w:rPr>
        <w:t>; El Haraki A, MD</w:t>
      </w:r>
      <w:r>
        <w:rPr>
          <w:rFonts w:ascii="Times New Roman" w:hAnsi="Times New Roman"/>
          <w:sz w:val="24"/>
          <w:vertAlign w:val="superscript"/>
        </w:rPr>
        <w:t>¹</w:t>
      </w:r>
    </w:p>
    <w:p>
      <w:pPr>
        <w:spacing w:after="200"/>
        <w:jc w:val="center"/>
      </w:pPr>
      <w:r>
        <w:rPr>
          <w:rFonts w:ascii="Times New Roman" w:hAnsi="Times New Roman"/>
          <w:i/>
          <w:sz w:val="20"/>
        </w:rPr>
        <w:t>¹Department of Obstetrics and Gynecology, Atrium Health Wake Forest Baptist, Winston-Salem, NC</w:t>
      </w:r>
    </w:p>
    <w:p>
      <w:pPr>
        <w:spacing w:before="0" w:after="80" w:line="280" w:lineRule="exact"/>
      </w:pPr>
      <w:r>
        <w:rPr>
          <w:b/>
          <w:sz w:val="24"/>
        </w:rPr>
        <w:t xml:space="preserve">Objective: </w:t>
      </w:r>
      <w:r>
        <w:rPr>
          <w:sz w:val="24"/>
        </w:rPr>
        <w:t>To develop and validate a point-based preoperative clinical risk calculator for pelvic organ prolapse (POP) recurrence incorporating patient characteristics and planned surgical approach.</w:t>
      </w:r>
    </w:p>
    <w:p>
      <w:pPr>
        <w:spacing w:before="0" w:after="80" w:line="280" w:lineRule="exact"/>
      </w:pPr>
      <w:r>
        <w:rPr>
          <w:b/>
          <w:sz w:val="24"/>
        </w:rPr>
        <w:t xml:space="preserve">Methods: </w:t>
      </w:r>
      <w:r>
        <w:rPr>
          <w:sz w:val="24"/>
        </w:rPr>
        <w:t>We performed a pooled individual-patient data analysis of four prospective clinical trials (ALTIS, BEST, EPACT, SASS) comprising 752 women who underwent POP surgery between 2017 and 2024. Surgical approaches included sacrocolpopexy (62.8%), native tissue repair including uterosacral and sacrospinous ligament suspension (30.9%), and colpocleisis (6.4%). The primary outcome was composite recurrence, defined as POP-Q stage ≥2, any POP-Q measurement point ≥0, or bothersome vaginal bulge symptoms (PFDI-20 Question 3 ≥2) at any follow-up visit with available data. Standard logistic regression with backward stepwise Akaike Information Criterion (AIC) selection was used for predictor identification. Model discrimination was assessed by full-cohort area under the receiver operating characteristic curve (AUC), five-fold stratified cross-validation (CV), and leave-one-dataset-out (LODO) external validation across three of four trial datasets. Regression coefficients were converted to a clinically scaled integer point score, with risk tiers defined empirically from the score distribution.</w:t>
      </w:r>
    </w:p>
    <w:p>
      <w:pPr>
        <w:spacing w:before="0" w:after="80" w:line="280" w:lineRule="exact"/>
      </w:pPr>
      <w:r>
        <w:rPr>
          <w:b/>
          <w:sz w:val="24"/>
        </w:rPr>
        <w:t xml:space="preserve">Results: </w:t>
      </w:r>
      <w:r>
        <w:rPr>
          <w:sz w:val="24"/>
        </w:rPr>
        <w:t>Mean age was 62.9 years (SD 11.4) and BMI 28.1 kg/m² (SD 7.0); 58.1% of patients presented with stage 3 prolapse (Table 1). Composite recurrence occurred in 210 of 752 patients (27.9%). AIC model selection identified four independent predictors of recurrence: surgical approach, baseline Anterior Vaginal Wall (Ba point), baseline Genital Hiatus (gh), and menopausal/hormonal status. On multivariable analysis, wider Genital Hiatus (OR 1.31 per cm, 95% CI 1.13–1.51, p&lt;0.001), greater anterior wall prolapse (OR 1.13 per cm, 95% CI 1.05–1.21, p=0.001), native tissue repair versus sacrocolpopexy (OR 1.48, 95% CI 1.04–2.13, p=0.032), and colpocleisis versus sacrocolpopexy (OR 0.37, 95% CI 0.15–0.88, p=0.025) were significant. The POP-PREDICT score (0–7 points) assigns points for surgical approach (0–2), Ba point (0–2), Genital Hiatus (0–2), and hormonal status (0–1). Full-cohort AUC was 0.67; five-fold CV AUC was 0.64 (SD 0.07); LODO AUC ranged from 0.55 to 0.66 (Table 2). The score stratified patients into low risk (0–2 points, 8–17% recurrence), moderate risk (3–4 points, 21–28%), and high risk (5–7 points, 40–45%) categories (Table 3).</w:t>
      </w:r>
    </w:p>
    <w:p>
      <w:pPr>
        <w:spacing w:before="0" w:after="80" w:line="280" w:lineRule="exact"/>
      </w:pPr>
      <w:r>
        <w:rPr>
          <w:b/>
          <w:sz w:val="24"/>
        </w:rPr>
        <w:t xml:space="preserve">Conclusions: </w:t>
      </w:r>
      <w:r>
        <w:rPr>
          <w:sz w:val="24"/>
        </w:rPr>
        <w:t>The POP-PREDICT score is a novel, validated point-based tool for preoperative risk stratification of POP surgical recurrence. Incorporating four readily available clinical variables, it demonstrated consistent discrimination across internal cross-validation and external LODO validation (AUC 0.64–0.67) and stratifies patients into three clinically meaningful risk tiers. This tool supports individualized preoperative counseling, shared decision-making, and identification of patients who may benefit from more durable surgical approaches or enhanced postoperative surveillance.</w:t>
      </w:r>
    </w:p>
    <w:p/>
    <w:p>
      <w:r>
        <w:rPr>
          <w:b/>
          <w:sz w:val="22"/>
        </w:rPr>
        <w:t>Table 1.  Patient Characteristics (N = 752)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Characteristic</w:t>
            </w:r>
          </w:p>
        </w:tc>
        <w:tc>
          <w:tcPr>
            <w:tcW w:type="dxa" w:w="2880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5040"/>
            <w:shd w:val="clear" w:color="auto" w:fill="F2F2F2"/>
          </w:tcPr>
          <w:p>
            <w:r>
              <w:rPr>
                <w:sz w:val="20"/>
              </w:rPr>
              <w:t>Age, years</w:t>
            </w:r>
          </w:p>
        </w:tc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62.9 (11.4)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BMI, kg/m²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28.1 (7.0)</w:t>
            </w:r>
          </w:p>
        </w:tc>
      </w:tr>
      <w:tr>
        <w:tc>
          <w:tcPr>
            <w:tcW w:type="dxa" w:w="5040"/>
            <w:shd w:val="clear" w:color="auto" w:fill="F2F2F2"/>
          </w:tcPr>
          <w:p>
            <w:r>
              <w:rPr>
                <w:sz w:val="20"/>
              </w:rPr>
              <w:t>Parity, births</w:t>
            </w:r>
          </w:p>
        </w:tc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2.6 (1.4)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>
              <w:rPr>
                <w:b/>
                <w:sz w:val="20"/>
              </w:rPr>
              <w:t>Race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5040"/>
            <w:shd w:val="clear" w:color="auto" w:fill="F2F2F2"/>
          </w:tcPr>
          <w:p>
            <w:r>
              <w:rPr>
                <w:sz w:val="20"/>
              </w:rPr>
              <w:t xml:space="preserve">      White</w:t>
            </w:r>
          </w:p>
        </w:tc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82.0%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 xml:space="preserve">      Black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7.7%</w:t>
            </w:r>
          </w:p>
        </w:tc>
      </w:tr>
      <w:tr>
        <w:tc>
          <w:tcPr>
            <w:tcW w:type="dxa" w:w="5040"/>
            <w:shd w:val="clear" w:color="auto" w:fill="F2F2F2"/>
          </w:tcPr>
          <w:p>
            <w:r>
              <w:rPr>
                <w:sz w:val="20"/>
              </w:rPr>
              <w:t xml:space="preserve">      Hispanic</w:t>
            </w:r>
          </w:p>
        </w:tc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5.6%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 xml:space="preserve">      Other / Unknown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4.7%</w:t>
            </w:r>
          </w:p>
        </w:tc>
      </w:tr>
      <w:tr>
        <w:tc>
          <w:tcPr>
            <w:tcW w:type="dxa" w:w="5040"/>
            <w:shd w:val="clear" w:color="auto" w:fill="F2F2F2"/>
          </w:tcPr>
          <w:p>
            <w:r>
              <w:rPr>
                <w:b/>
                <w:sz w:val="20"/>
              </w:rPr>
              <w:t>Hormonal Status</w:t>
            </w:r>
          </w:p>
        </w:tc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 xml:space="preserve">      Pre- or peri-menopausal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20.2%</w:t>
            </w:r>
          </w:p>
        </w:tc>
      </w:tr>
      <w:tr>
        <w:tc>
          <w:tcPr>
            <w:tcW w:type="dxa" w:w="5040"/>
            <w:shd w:val="clear" w:color="auto" w:fill="F2F2F2"/>
          </w:tcPr>
          <w:p>
            <w:r>
              <w:rPr>
                <w:sz w:val="20"/>
              </w:rPr>
              <w:t xml:space="preserve">      Postmenopausal, no HRT</w:t>
            </w:r>
          </w:p>
        </w:tc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53.7%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 xml:space="preserve">      Postmenopausal, vaginal estrogen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19.1%</w:t>
            </w:r>
          </w:p>
        </w:tc>
      </w:tr>
      <w:tr>
        <w:tc>
          <w:tcPr>
            <w:tcW w:type="dxa" w:w="5040"/>
            <w:shd w:val="clear" w:color="auto" w:fill="F2F2F2"/>
          </w:tcPr>
          <w:p>
            <w:r>
              <w:rPr>
                <w:sz w:val="20"/>
              </w:rPr>
              <w:t xml:space="preserve">      Postmenopausal, oral/systemic HRT</w:t>
            </w:r>
          </w:p>
        </w:tc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4.9%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>
              <w:rPr>
                <w:b/>
                <w:sz w:val="20"/>
              </w:rPr>
              <w:t>Surgery Type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5040"/>
            <w:shd w:val="clear" w:color="auto" w:fill="F2F2F2"/>
          </w:tcPr>
          <w:p>
            <w:r>
              <w:rPr>
                <w:sz w:val="20"/>
              </w:rPr>
              <w:t xml:space="preserve">      Sacrocolpopexy</w:t>
            </w:r>
          </w:p>
        </w:tc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62.8%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 xml:space="preserve">      Native tissue repair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30.9%</w:t>
            </w:r>
          </w:p>
        </w:tc>
      </w:tr>
      <w:tr>
        <w:tc>
          <w:tcPr>
            <w:tcW w:type="dxa" w:w="5040"/>
            <w:shd w:val="clear" w:color="auto" w:fill="F2F2F2"/>
          </w:tcPr>
          <w:p>
            <w:r>
              <w:rPr>
                <w:sz w:val="20"/>
              </w:rPr>
              <w:t xml:space="preserve">      Colpocleisis</w:t>
            </w:r>
          </w:p>
        </w:tc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6.4%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>
              <w:rPr>
                <w:b/>
                <w:sz w:val="20"/>
              </w:rPr>
              <w:t>Baseline POP-Q Stage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5040"/>
            <w:shd w:val="clear" w:color="auto" w:fill="F2F2F2"/>
          </w:tcPr>
          <w:p>
            <w:r>
              <w:rPr>
                <w:sz w:val="20"/>
              </w:rPr>
              <w:t xml:space="preserve">      Stage 2</w:t>
            </w:r>
          </w:p>
        </w:tc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31.4%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 xml:space="preserve">      Stage 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58.1%</w:t>
            </w:r>
          </w:p>
        </w:tc>
      </w:tr>
      <w:tr>
        <w:tc>
          <w:tcPr>
            <w:tcW w:type="dxa" w:w="5040"/>
            <w:shd w:val="clear" w:color="auto" w:fill="F2F2F2"/>
          </w:tcPr>
          <w:p>
            <w:r>
              <w:rPr>
                <w:sz w:val="20"/>
              </w:rPr>
              <w:t xml:space="preserve">      Stage 4</w:t>
            </w:r>
          </w:p>
        </w:tc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10.5%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Baseline Ba Point, cm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2.2 (2.6)</w:t>
            </w:r>
          </w:p>
        </w:tc>
      </w:tr>
      <w:tr>
        <w:tc>
          <w:tcPr>
            <w:tcW w:type="dxa" w:w="5040"/>
            <w:shd w:val="clear" w:color="auto" w:fill="F2F2F2"/>
          </w:tcPr>
          <w:p>
            <w:r>
              <w:rPr>
                <w:sz w:val="20"/>
              </w:rPr>
              <w:t>Baseline Genital Hiatus, cm</w:t>
            </w:r>
          </w:p>
        </w:tc>
        <w:tc>
          <w:tcPr>
            <w:tcW w:type="dxa" w:w="2880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4.3 (1.3)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Composite recurrence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27.9% (n=210)</w:t>
            </w:r>
          </w:p>
        </w:tc>
      </w:tr>
    </w:tbl>
    <w:p>
      <w:pPr>
        <w:spacing w:before="40" w:after="160"/>
      </w:pPr>
      <w:r>
        <w:rPr>
          <w:i/>
          <w:sz w:val="18"/>
        </w:rPr>
        <w:t>Values are mean (SD) for continuous variables and % for categorical variables. HRT = hormone replacement therapy; POP-Q = pelvic organ prolapse quantification system.</w:t>
      </w:r>
    </w:p>
    <w:p>
      <w:r>
        <w:rPr>
          <w:b/>
          <w:sz w:val="22"/>
        </w:rPr>
        <w:t>Table 2.  Model Discrimination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Validation</w:t>
            </w:r>
          </w:p>
        </w:tc>
        <w:tc>
          <w:tcPr>
            <w:tcW w:type="dxa" w:w="1560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AUC</w:t>
            </w:r>
          </w:p>
        </w:tc>
        <w:tc>
          <w:tcPr>
            <w:tcW w:type="dxa" w:w="1560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Sensitivity</w:t>
            </w:r>
          </w:p>
        </w:tc>
        <w:tc>
          <w:tcPr>
            <w:tcW w:type="dxa" w:w="1560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Specificity</w:t>
            </w:r>
          </w:p>
        </w:tc>
        <w:tc>
          <w:tcPr>
            <w:tcW w:type="dxa" w:w="1560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PPV</w:t>
            </w:r>
          </w:p>
        </w:tc>
        <w:tc>
          <w:tcPr>
            <w:tcW w:type="dxa" w:w="1560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NPV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Full cohort</w:t>
            </w:r>
          </w:p>
        </w:tc>
        <w:tc>
          <w:tcPr>
            <w:tcW w:type="dxa" w:w="1560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0.67</w:t>
            </w:r>
          </w:p>
        </w:tc>
        <w:tc>
          <w:tcPr>
            <w:tcW w:type="dxa" w:w="1560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0.66</w:t>
            </w:r>
          </w:p>
        </w:tc>
        <w:tc>
          <w:tcPr>
            <w:tcW w:type="dxa" w:w="1560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0.60</w:t>
            </w:r>
          </w:p>
        </w:tc>
        <w:tc>
          <w:tcPr>
            <w:tcW w:type="dxa" w:w="1560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0.39</w:t>
            </w:r>
          </w:p>
        </w:tc>
        <w:tc>
          <w:tcPr>
            <w:tcW w:type="dxa" w:w="1560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0.82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sz w:val="20"/>
              </w:rPr>
              <w:t>5-fold CV (mean ± SD)</w:t>
            </w:r>
          </w:p>
        </w:tc>
        <w:tc>
          <w:tcPr>
            <w:tcW w:type="dxa" w:w="156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0.64 ± 0.07</w:t>
            </w:r>
          </w:p>
        </w:tc>
        <w:tc>
          <w:tcPr>
            <w:tcW w:type="dxa" w:w="156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156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156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156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LODO — held-out BEST</w:t>
            </w:r>
          </w:p>
        </w:tc>
        <w:tc>
          <w:tcPr>
            <w:tcW w:type="dxa" w:w="1560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0.66</w:t>
            </w:r>
          </w:p>
        </w:tc>
        <w:tc>
          <w:tcPr>
            <w:tcW w:type="dxa" w:w="1560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1560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1560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1560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sz w:val="20"/>
              </w:rPr>
              <w:t>LODO — held-out EPACT</w:t>
            </w:r>
          </w:p>
        </w:tc>
        <w:tc>
          <w:tcPr>
            <w:tcW w:type="dxa" w:w="156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0.58</w:t>
            </w:r>
          </w:p>
        </w:tc>
        <w:tc>
          <w:tcPr>
            <w:tcW w:type="dxa" w:w="156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156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156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156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r>
              <w:rPr>
                <w:sz w:val="20"/>
              </w:rPr>
              <w:t>LODO — held-out SASS</w:t>
            </w:r>
          </w:p>
        </w:tc>
        <w:tc>
          <w:tcPr>
            <w:tcW w:type="dxa" w:w="1560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0.55</w:t>
            </w:r>
          </w:p>
        </w:tc>
        <w:tc>
          <w:tcPr>
            <w:tcW w:type="dxa" w:w="1560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1560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1560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1560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</w:tbl>
    <w:p>
      <w:pPr>
        <w:spacing w:before="40" w:after="160"/>
      </w:pPr>
      <w:r>
        <w:rPr>
          <w:i/>
          <w:sz w:val="18"/>
        </w:rPr>
        <w:t>AUC = area under the ROC curve; CV = cross-validation; LODO = leave-one-dataset-out; PPV = positive predictive value; NPV = negative predictive value. ALTIS LODO could not be computed due to near-perfect separation in the training set without that cohort.</w:t>
      </w:r>
    </w:p>
    <w:p>
      <w:r>
        <w:rPr>
          <w:b/>
          <w:sz w:val="22"/>
        </w:rPr>
        <w:t>Table 3.  POP-PREDICT Score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2E4057"/>
            <w:shd w:val="clear" w:color="auto" w:fill="F2F2F2"/>
          </w:tcPr>
          <w:p>
            <w:pPr>
              <w:jc w:val="center"/>
            </w:pPr>
            <w:r>
              <w:rPr>
                <w:b/>
                <w:sz w:val="20"/>
              </w:rPr>
              <w:t>Surgical Approach</w:t>
            </w:r>
          </w:p>
        </w:tc>
        <w:tc>
          <w:tcPr>
            <w:tcW w:type="dxa" w:w="4032"/>
            <w:shd w:val="clear" w:color="auto" w:fill="2E4057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Colpocleisis</w:t>
            </w:r>
          </w:p>
        </w:tc>
        <w:tc>
          <w:tcPr>
            <w:tcW w:type="dxa" w:w="1008"/>
            <w:shd w:val="clear" w:color="auto" w:fill="2E4057"/>
            <w:shd w:val="clear" w:color="auto" w:fill="F2F2F2"/>
          </w:tcPr>
          <w:p>
            <w:pPr>
              <w:jc w:val="center"/>
            </w:pPr>
            <w:r>
              <w:rPr>
                <w:b/>
                <w:sz w:val="20"/>
              </w:rPr>
              <w:t>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Sacrocolpopexy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Native tissue repair (USLS / SSLF)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b/>
                <w:sz w:val="20"/>
              </w:rPr>
              <w:t>Anterior Wall (Ba Point)</w:t>
            </w:r>
          </w:p>
        </w:tc>
        <w:tc>
          <w:tcPr>
            <w:tcW w:type="dxa" w:w="4032"/>
            <w:shd w:val="clear" w:color="auto" w:fill="F2F2F2"/>
          </w:tcPr>
          <w:p>
            <w:r>
              <w:rPr>
                <w:sz w:val="20"/>
              </w:rPr>
              <w:t>&lt; 0 cm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>
              <w:rPr>
                <w:b/>
                <w:sz w:val="20"/>
              </w:rPr>
              <w:t>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0 to 3 cm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≥ 4 cm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b/>
                <w:sz w:val="20"/>
              </w:rPr>
              <w:t>Genital Hiatus (gh)</w:t>
            </w:r>
          </w:p>
        </w:tc>
        <w:tc>
          <w:tcPr>
            <w:tcW w:type="dxa" w:w="4032"/>
            <w:shd w:val="clear" w:color="auto" w:fill="F2F2F2"/>
          </w:tcPr>
          <w:p>
            <w:r>
              <w:rPr>
                <w:sz w:val="20"/>
              </w:rPr>
              <w:t>≤ 3 cm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>
              <w:rPr>
                <w:b/>
                <w:sz w:val="20"/>
              </w:rPr>
              <w:t>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4 to 5 cm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≥ 6 cm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b/>
                <w:sz w:val="20"/>
              </w:rPr>
              <w:t>Hormonal Status</w:t>
            </w:r>
          </w:p>
        </w:tc>
        <w:tc>
          <w:tcPr>
            <w:tcW w:type="dxa" w:w="4032"/>
            <w:shd w:val="clear" w:color="auto" w:fill="F2F2F2"/>
          </w:tcPr>
          <w:p>
            <w:r>
              <w:rPr>
                <w:sz w:val="20"/>
              </w:rPr>
              <w:t>Pre-menopausal or on estrogen (systemic/local)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>
              <w:rPr>
                <w:b/>
                <w:sz w:val="20"/>
              </w:rPr>
              <w:t>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Postmenopausal, no HRT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b/>
                <w:sz w:val="20"/>
              </w:rPr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b/>
                <w:sz w:val="20"/>
              </w:rPr>
              <w:t>TOTAL SCORE</w:t>
            </w:r>
          </w:p>
        </w:tc>
        <w:tc>
          <w:tcPr>
            <w:tcW w:type="dxa" w:w="4032"/>
            <w:shd w:val="clear" w:color="auto" w:fill="F2F2F2"/>
          </w:tcPr>
          <w:p>
            <w:r>
              <w:rPr>
                <w:sz w:val="20"/>
              </w:rPr>
              <w:t>_____ / 7 points</w:t>
            </w:r>
          </w:p>
        </w:tc>
        <w:tc>
          <w:tcPr>
            <w:tcW w:type="dxa" w:w="1008"/>
            <w:shd w:val="clear" w:color="auto" w:fill="F2F2F2"/>
          </w:tcPr>
          <w:p>
            <w:pPr>
              <w:jc w:val="center"/>
            </w:pPr>
            <w:r>
              <w:rPr>
                <w:b/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2880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Risk Category</w:t>
            </w:r>
          </w:p>
        </w:tc>
        <w:tc>
          <w:tcPr>
            <w:tcW w:type="dxa" w:w="3312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Observed Recurrence</w:t>
            </w:r>
          </w:p>
        </w:tc>
      </w:tr>
      <w:tr>
        <w:tc>
          <w:tcPr>
            <w:tcW w:type="dxa" w:w="1728"/>
            <w:shd w:val="clear" w:color="auto" w:fill="C6EFCE"/>
          </w:tcPr>
          <w:p>
            <w:pPr>
              <w:jc w:val="center"/>
            </w:pPr>
            <w:r>
              <w:rPr>
                <w:b/>
                <w:color w:val="375623"/>
                <w:sz w:val="20"/>
              </w:rPr>
              <w:t>0–2 points</w:t>
            </w:r>
          </w:p>
        </w:tc>
        <w:tc>
          <w:tcPr>
            <w:tcW w:type="dxa" w:w="2880"/>
            <w:shd w:val="clear" w:color="auto" w:fill="C6EFCE"/>
          </w:tcPr>
          <w:p>
            <w:pPr>
              <w:jc w:val="center"/>
            </w:pPr>
            <w:r>
              <w:rPr>
                <w:b/>
                <w:color w:val="375623"/>
                <w:sz w:val="20"/>
              </w:rPr>
              <w:t>LOW RISK</w:t>
            </w:r>
          </w:p>
        </w:tc>
        <w:tc>
          <w:tcPr>
            <w:tcW w:type="dxa" w:w="3312"/>
            <w:shd w:val="clear" w:color="auto" w:fill="C6EFCE"/>
          </w:tcPr>
          <w:p>
            <w:pPr>
              <w:jc w:val="center"/>
            </w:pPr>
            <w:r>
              <w:rPr>
                <w:b/>
                <w:color w:val="375623"/>
                <w:sz w:val="20"/>
              </w:rPr>
              <w:t>8–17% recurrence probability</w:t>
            </w:r>
          </w:p>
        </w:tc>
      </w:tr>
      <w:tr>
        <w:tc>
          <w:tcPr>
            <w:tcW w:type="dxa" w:w="1728"/>
            <w:shd w:val="clear" w:color="auto" w:fill="FFEB9C"/>
          </w:tcPr>
          <w:p>
            <w:pPr>
              <w:jc w:val="center"/>
            </w:pPr>
            <w:r>
              <w:rPr>
                <w:b/>
                <w:color w:val="9C6500"/>
                <w:sz w:val="20"/>
              </w:rPr>
              <w:t>3–4 points</w:t>
            </w:r>
          </w:p>
        </w:tc>
        <w:tc>
          <w:tcPr>
            <w:tcW w:type="dxa" w:w="2880"/>
            <w:shd w:val="clear" w:color="auto" w:fill="FFEB9C"/>
          </w:tcPr>
          <w:p>
            <w:pPr>
              <w:jc w:val="center"/>
            </w:pPr>
            <w:r>
              <w:rPr>
                <w:b/>
                <w:color w:val="9C6500"/>
                <w:sz w:val="20"/>
              </w:rPr>
              <w:t>MODERATE RISK</w:t>
            </w:r>
          </w:p>
        </w:tc>
        <w:tc>
          <w:tcPr>
            <w:tcW w:type="dxa" w:w="3312"/>
            <w:shd w:val="clear" w:color="auto" w:fill="FFEB9C"/>
          </w:tcPr>
          <w:p>
            <w:pPr>
              <w:jc w:val="center"/>
            </w:pPr>
            <w:r>
              <w:rPr>
                <w:b/>
                <w:color w:val="9C6500"/>
                <w:sz w:val="20"/>
              </w:rPr>
              <w:t>21–28% recurrence probability</w:t>
            </w:r>
          </w:p>
        </w:tc>
      </w:tr>
      <w:tr>
        <w:tc>
          <w:tcPr>
            <w:tcW w:type="dxa" w:w="1728"/>
            <w:shd w:val="clear" w:color="auto" w:fill="FFC7CE"/>
          </w:tcPr>
          <w:p>
            <w:pPr>
              <w:jc w:val="center"/>
            </w:pPr>
            <w:r>
              <w:rPr>
                <w:b/>
                <w:color w:val="9C0006"/>
                <w:sz w:val="20"/>
              </w:rPr>
              <w:t>5–7 points</w:t>
            </w:r>
          </w:p>
        </w:tc>
        <w:tc>
          <w:tcPr>
            <w:tcW w:type="dxa" w:w="2880"/>
            <w:shd w:val="clear" w:color="auto" w:fill="FFC7CE"/>
          </w:tcPr>
          <w:p>
            <w:pPr>
              <w:jc w:val="center"/>
            </w:pPr>
            <w:r>
              <w:rPr>
                <w:b/>
                <w:color w:val="9C0006"/>
                <w:sz w:val="20"/>
              </w:rPr>
              <w:t>HIGH RISK</w:t>
            </w:r>
          </w:p>
        </w:tc>
        <w:tc>
          <w:tcPr>
            <w:tcW w:type="dxa" w:w="3312"/>
            <w:shd w:val="clear" w:color="auto" w:fill="FFC7CE"/>
          </w:tcPr>
          <w:p>
            <w:pPr>
              <w:jc w:val="center"/>
            </w:pPr>
            <w:r>
              <w:rPr>
                <w:b/>
                <w:color w:val="9C0006"/>
                <w:sz w:val="20"/>
              </w:rPr>
              <w:t>40–45% recurrence probability</w:t>
            </w:r>
          </w:p>
        </w:tc>
      </w:tr>
    </w:tbl>
    <w:p>
      <w:pPr>
        <w:spacing w:before="40" w:after="160"/>
      </w:pPr>
      <w:r>
        <w:rPr>
          <w:i/>
          <w:sz w:val="18"/>
        </w:rPr>
        <w:t>USLS = uterosacral ligament suspension; SSLF = sacrospinous ligament fixation; HRT = hormone replacement therapy. Recurrence probabilities are empirical rates from the derivation cohort. Clinical Use: This score supports preoperative counseling and shared decision-making. It does not replace clinical judgment.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