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Development of the POP-PREDICT Score: A Machine Learning-Derived Prediction Calculator for Recurrence Risk in Pelvic Organ Prolapse Surgery</w:t>
      </w:r>
    </w:p>
    <w:p>
      <w:pPr>
        <w:pStyle w:val="BodyText"/>
      </w:pPr>
      <w:r>
        <w:t xml:space="preserve">Sullivan, Marie; Kim, Shihyun; El Haraki, Amr</w:t>
      </w:r>
    </w:p>
    <w:p>
      <w:pPr>
        <w:pStyle w:val="BodyText"/>
      </w:pPr>
      <w:r>
        <w:rPr>
          <w:b/>
          <w:bCs/>
        </w:rPr>
        <w:t xml:space="preserve">Introduction:</w:t>
      </w:r>
      <w:r>
        <w:t xml:space="preserve"> </w:t>
      </w:r>
      <w:r>
        <w:t xml:space="preserve">There are several calculators commonly used in medicine such as the Vaginal Birth After Cesarean calculator, the Caprini Score, or the CHA₂DS₂-VASc score. These calculators are widely adopted because they integrate multiple clinical variables into a standardized score, improving risk stratification, enhancing shared decision-making, and optimizing patient outcomes.</w:t>
      </w:r>
    </w:p>
    <w:p>
      <w:pPr>
        <w:pStyle w:val="BodyText"/>
      </w:pPr>
      <w:r>
        <w:rPr>
          <w:b/>
          <w:bCs/>
        </w:rPr>
        <w:t xml:space="preserve">Objective:</w:t>
      </w:r>
      <w:r>
        <w:t xml:space="preserve"> </w:t>
      </w:r>
      <w:r>
        <w:t xml:space="preserve">To develop and validate a clinical risk score for prolapse recurrence following pelvic organ prolapse (POP) surgery incorporating patient characteristics and surgical approach.</w:t>
      </w:r>
    </w:p>
    <w:p>
      <w:pPr>
        <w:pStyle w:val="BodyText"/>
      </w:pPr>
      <w:r>
        <w:rPr>
          <w:b/>
          <w:bCs/>
        </w:rPr>
        <w:t xml:space="preserve">Methods:</w:t>
      </w:r>
      <w:r>
        <w:t xml:space="preserve"> </w:t>
      </w:r>
      <w:r>
        <w:t xml:space="preserve">We performed a pooled analysis of four prospective clinical trials (ALTIS, BEST, EPACT, SASS) including 752 women undergoing POP surgery between 2017-2024. Surgical approaches included sacrocolpopexy (N=472), native tissue repair with uterosacral/sacrospinous ligament suspension (N=232), and colpocleisis (N=48). A composite recurrence outcome was defined as POP-Q stage ≥2, any POP-Q point ≥0, or bothersome bulge symptoms at follow-up. LASSO logistic regression was used for predictor selection and model development, validated using 5-fold cross-validation and leave-one-dataset-out (LODO) external validation. Regression coefficients were converted to a point-based clinical risk score.</w:t>
      </w:r>
    </w:p>
    <w:p>
      <w:pPr>
        <w:pStyle w:val="BodyText"/>
      </w:pPr>
      <w:r>
        <w:rPr>
          <w:b/>
          <w:bCs/>
        </w:rPr>
        <w:t xml:space="preserve">Results:</w:t>
      </w:r>
      <w:r>
        <w:t xml:space="preserve"> </w:t>
      </w:r>
      <w:r>
        <w:t xml:space="preserve">Mean age was 63.6 years (SD 11.2), BMI 28.0 kg/m² (SD 5.6), and 56.3% presented with stage 3 prolapse. Composite recurrence occurred in 28.1% of patients. The model achieved AUC 0.65, sensitivity 0.58, specificity 0.72, PPV 0.41, and NPV 0.83. External validation confirmed consistent performance (LODO AUC range: 0.57-0.67). The POP-PREDICT score (0-14 points) incorporates eight predictors: surgery type (0-2 points), baseline Ba point (0-3), parity (0-2), height (0-2), baseline C point (0-2), hormonal status (0-1), baseline Aa point (0-1), and race (0-1). The score stratifies patients into low (0-4 points, ~10% recurrence), moderate (5-7 points, ~25%), high (8-10 points, ~40%), and very high risk (11-14 points, ~55%) categories.</w:t>
      </w:r>
    </w:p>
    <w:p>
      <w:pPr>
        <w:pStyle w:val="BodyText"/>
      </w:pPr>
      <w:r>
        <w:rPr>
          <w:b/>
          <w:bCs/>
        </w:rPr>
        <w:t xml:space="preserve">Conclusion:</w:t>
      </w:r>
      <w:r>
        <w:t xml:space="preserve"> </w:t>
      </w:r>
      <w:r>
        <w:t xml:space="preserve">The POP-PREDICT score is a clinical tool for preoperative risk stratification that incorporates surgical approach and recurrence risk. This score facilitates shared decision-making by quantifying expected recurrence risk based on patient characteristics and planned procedure.</w:t>
      </w:r>
    </w:p>
    <w:p>
      <w:pPr>
        <w:pStyle w:val="BodyText"/>
      </w:pPr>
      <w:r>
        <w:rPr>
          <w:b/>
          <w:bCs/>
        </w:rPr>
        <w:t xml:space="preserve">Table 1.</w:t>
      </w:r>
      <w:r>
        <w:t xml:space="preserve"> </w:t>
      </w:r>
      <w:r>
        <w:t xml:space="preserve">Patient Characteristics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Characteristic</w:t>
            </w:r>
          </w:p>
        </w:tc>
        <w:tc>
          <w:tcPr/>
          <w:p>
            <w:pPr>
              <w:pStyle w:val="Compact"/>
            </w:pPr>
            <w:r>
              <w:rPr>
                <w:b/>
                <w:bCs/>
              </w:rPr>
              <w:t xml:space="preserve">Value</w:t>
            </w:r>
          </w:p>
        </w:tc>
      </w:tr>
      <w:tr>
        <w:tc>
          <w:tcPr/>
          <w:p>
            <w:pPr>
              <w:pStyle w:val="Compact"/>
            </w:pPr>
            <w:r>
              <w:t xml:space="preserve">Age, years</w:t>
            </w:r>
          </w:p>
        </w:tc>
        <w:tc>
          <w:tcPr/>
          <w:p>
            <w:pPr>
              <w:pStyle w:val="Compact"/>
            </w:pPr>
            <w:r>
              <w:t xml:space="preserve">63.6 (11.2)</w:t>
            </w:r>
          </w:p>
        </w:tc>
      </w:tr>
      <w:tr>
        <w:tc>
          <w:tcPr/>
          <w:p>
            <w:pPr>
              <w:pStyle w:val="Compact"/>
            </w:pPr>
            <w:r>
              <w:t xml:space="preserve">BMI, kg/m²</w:t>
            </w:r>
          </w:p>
        </w:tc>
        <w:tc>
          <w:tcPr/>
          <w:p>
            <w:pPr>
              <w:pStyle w:val="Compact"/>
            </w:pPr>
            <w:r>
              <w:t xml:space="preserve">28.0 (5.6)</w:t>
            </w:r>
          </w:p>
        </w:tc>
      </w:tr>
      <w:tr>
        <w:tc>
          <w:tcPr/>
          <w:p>
            <w:pPr>
              <w:pStyle w:val="Compact"/>
            </w:pPr>
            <w:r>
              <w:t xml:space="preserve">Parity, births</w:t>
            </w:r>
          </w:p>
        </w:tc>
        <w:tc>
          <w:tcPr/>
          <w:p>
            <w:pPr>
              <w:pStyle w:val="Compact"/>
            </w:pPr>
            <w:r>
              <w:t xml:space="preserve">2.6 (1.4)</w:t>
            </w:r>
          </w:p>
        </w:tc>
      </w:tr>
      <w:tr>
        <w:tc>
          <w:tcPr/>
          <w:p>
            <w:pPr>
              <w:pStyle w:val="Compact"/>
            </w:pPr>
            <w:r>
              <w:t xml:space="preserve">Race</w:t>
            </w:r>
          </w:p>
        </w:tc>
        <w:tc>
          <w:tcPr/>
          <w:p>
            <w:pPr>
              <w:pStyle w:val="Compact"/>
            </w:pPr>
          </w:p>
        </w:tc>
      </w:tr>
      <w:tr>
        <w:tc>
          <w:tcPr/>
          <w:p>
            <w:pPr>
              <w:pStyle w:val="Compact"/>
            </w:pPr>
            <w:r>
              <w:t xml:space="preserve">    White</w:t>
            </w:r>
          </w:p>
        </w:tc>
        <w:tc>
          <w:tcPr/>
          <w:p>
            <w:pPr>
              <w:pStyle w:val="Compact"/>
            </w:pPr>
            <w:r>
              <w:t xml:space="preserve">83.8%</w:t>
            </w:r>
          </w:p>
        </w:tc>
      </w:tr>
      <w:tr>
        <w:tc>
          <w:tcPr/>
          <w:p>
            <w:pPr>
              <w:pStyle w:val="Compact"/>
            </w:pPr>
            <w:r>
              <w:t xml:space="preserve">    Black</w:t>
            </w:r>
          </w:p>
        </w:tc>
        <w:tc>
          <w:tcPr/>
          <w:p>
            <w:pPr>
              <w:pStyle w:val="Compact"/>
            </w:pPr>
            <w:r>
              <w:t xml:space="preserve">7.9%</w:t>
            </w:r>
          </w:p>
        </w:tc>
      </w:tr>
      <w:tr>
        <w:tc>
          <w:tcPr/>
          <w:p>
            <w:pPr>
              <w:pStyle w:val="Compact"/>
            </w:pPr>
            <w:r>
              <w:t xml:space="preserve">    Hispanic</w:t>
            </w:r>
          </w:p>
        </w:tc>
        <w:tc>
          <w:tcPr/>
          <w:p>
            <w:pPr>
              <w:pStyle w:val="Compact"/>
            </w:pPr>
            <w:r>
              <w:t xml:space="preserve">5.7%</w:t>
            </w:r>
          </w:p>
        </w:tc>
      </w:tr>
      <w:tr>
        <w:tc>
          <w:tcPr/>
          <w:p>
            <w:pPr>
              <w:pStyle w:val="Compact"/>
            </w:pPr>
            <w:r>
              <w:t xml:space="preserve">    Other</w:t>
            </w:r>
          </w:p>
        </w:tc>
        <w:tc>
          <w:tcPr/>
          <w:p>
            <w:pPr>
              <w:pStyle w:val="Compact"/>
            </w:pPr>
            <w:r>
              <w:t xml:space="preserve">2.6%</w:t>
            </w:r>
          </w:p>
        </w:tc>
      </w:tr>
      <w:tr>
        <w:tc>
          <w:tcPr/>
          <w:p>
            <w:pPr>
              <w:pStyle w:val="Compact"/>
            </w:pPr>
            <w:r>
              <w:t xml:space="preserve">Surgery Type</w:t>
            </w:r>
          </w:p>
        </w:tc>
        <w:tc>
          <w:tcPr/>
          <w:p>
            <w:pPr>
              <w:pStyle w:val="Compact"/>
            </w:pPr>
          </w:p>
        </w:tc>
      </w:tr>
      <w:tr>
        <w:tc>
          <w:tcPr/>
          <w:p>
            <w:pPr>
              <w:pStyle w:val="Compact"/>
            </w:pPr>
            <w:r>
              <w:t xml:space="preserve">    Sacrocolpopexy</w:t>
            </w:r>
          </w:p>
        </w:tc>
        <w:tc>
          <w:tcPr/>
          <w:p>
            <w:pPr>
              <w:pStyle w:val="Compact"/>
            </w:pPr>
            <w:r>
              <w:t xml:space="preserve">62.8%</w:t>
            </w:r>
          </w:p>
        </w:tc>
      </w:tr>
      <w:tr>
        <w:tc>
          <w:tcPr/>
          <w:p>
            <w:pPr>
              <w:pStyle w:val="Compact"/>
            </w:pPr>
            <w:r>
              <w:t xml:space="preserve">    USLS/SSLF</w:t>
            </w:r>
          </w:p>
        </w:tc>
        <w:tc>
          <w:tcPr/>
          <w:p>
            <w:pPr>
              <w:pStyle w:val="Compact"/>
            </w:pPr>
            <w:r>
              <w:t xml:space="preserve">30.8%</w:t>
            </w:r>
          </w:p>
        </w:tc>
      </w:tr>
      <w:tr>
        <w:tc>
          <w:tcPr/>
          <w:p>
            <w:pPr>
              <w:pStyle w:val="Compact"/>
            </w:pPr>
            <w:r>
              <w:t xml:space="preserve">    Colpocleisis</w:t>
            </w:r>
          </w:p>
        </w:tc>
        <w:tc>
          <w:tcPr/>
          <w:p>
            <w:pPr>
              <w:pStyle w:val="Compact"/>
            </w:pPr>
            <w:r>
              <w:t xml:space="preserve">6.4%</w:t>
            </w:r>
          </w:p>
        </w:tc>
      </w:tr>
      <w:tr>
        <w:tc>
          <w:tcPr/>
          <w:p>
            <w:pPr>
              <w:pStyle w:val="Compact"/>
            </w:pPr>
            <w:r>
              <w:t xml:space="preserve">Baseline POP-Q Stage</w:t>
            </w:r>
          </w:p>
        </w:tc>
        <w:tc>
          <w:tcPr/>
          <w:p>
            <w:pPr>
              <w:pStyle w:val="Compact"/>
            </w:pPr>
          </w:p>
        </w:tc>
      </w:tr>
      <w:tr>
        <w:tc>
          <w:tcPr/>
          <w:p>
            <w:pPr>
              <w:pStyle w:val="Compact"/>
            </w:pPr>
            <w:r>
              <w:t xml:space="preserve">    Stage 2</w:t>
            </w:r>
          </w:p>
        </w:tc>
        <w:tc>
          <w:tcPr/>
          <w:p>
            <w:pPr>
              <w:pStyle w:val="Compact"/>
            </w:pPr>
            <w:r>
              <w:t xml:space="preserve">32.2%</w:t>
            </w:r>
          </w:p>
        </w:tc>
      </w:tr>
      <w:tr>
        <w:tc>
          <w:tcPr/>
          <w:p>
            <w:pPr>
              <w:pStyle w:val="Compact"/>
            </w:pPr>
            <w:r>
              <w:t xml:space="preserve">    Stage 3</w:t>
            </w:r>
          </w:p>
        </w:tc>
        <w:tc>
          <w:tcPr/>
          <w:p>
            <w:pPr>
              <w:pStyle w:val="Compact"/>
            </w:pPr>
            <w:r>
              <w:t xml:space="preserve">56.3%</w:t>
            </w:r>
          </w:p>
        </w:tc>
      </w:tr>
      <w:tr>
        <w:tc>
          <w:tcPr/>
          <w:p>
            <w:pPr>
              <w:pStyle w:val="Compact"/>
            </w:pPr>
            <w:r>
              <w:t xml:space="preserve">    Stage 4</w:t>
            </w:r>
          </w:p>
        </w:tc>
        <w:tc>
          <w:tcPr/>
          <w:p>
            <w:pPr>
              <w:pStyle w:val="Compact"/>
            </w:pPr>
            <w:r>
              <w:t xml:space="preserve">11.5%</w:t>
            </w:r>
          </w:p>
        </w:tc>
      </w:tr>
      <w:tr>
        <w:tc>
          <w:tcPr/>
          <w:p>
            <w:pPr>
              <w:pStyle w:val="Compact"/>
            </w:pPr>
            <w:r>
              <w:t xml:space="preserve">Composite recurrence</w:t>
            </w:r>
          </w:p>
        </w:tc>
        <w:tc>
          <w:tcPr/>
          <w:p>
            <w:pPr>
              <w:pStyle w:val="Compact"/>
            </w:pPr>
            <w:r>
              <w:t xml:space="preserve">28.1%</w:t>
            </w:r>
          </w:p>
        </w:tc>
      </w:tr>
    </w:tbl>
    <w:p>
      <w:pPr>
        <w:pStyle w:val="BodyText"/>
      </w:pPr>
      <w:r>
        <w:rPr>
          <w:i/>
          <w:iCs/>
        </w:rPr>
        <w:t xml:space="preserve">Values are presented as mean (SD) for continuous variables and % for categorical variables. USLS = uterosacral ligament suspension; SSLF = sacrospinous ligament fixation.</w:t>
      </w:r>
    </w:p>
    <w:p>
      <w:pPr>
        <w:pStyle w:val="BodyText"/>
      </w:pPr>
      <w:r>
        <w:rPr>
          <w:b/>
          <w:bCs/>
        </w:rPr>
        <w:t xml:space="preserve">Table 2.</w:t>
      </w:r>
      <w:r>
        <w:t xml:space="preserve"> </w:t>
      </w:r>
      <w:r>
        <w:t xml:space="preserve">Predictive Model Performance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b/>
                <w:bCs/>
              </w:rPr>
              <w:t xml:space="preserve">Outcome</w:t>
            </w:r>
          </w:p>
        </w:tc>
        <w:tc>
          <w:tcPr/>
          <w:p>
            <w:pPr>
              <w:pStyle w:val="Compact"/>
            </w:pPr>
            <w:r>
              <w:rPr>
                <w:b/>
                <w:bCs/>
              </w:rPr>
              <w:t xml:space="preserve">AUC</w:t>
            </w:r>
          </w:p>
        </w:tc>
        <w:tc>
          <w:tcPr/>
          <w:p>
            <w:pPr>
              <w:pStyle w:val="Compact"/>
            </w:pPr>
            <w:r>
              <w:rPr>
                <w:b/>
                <w:bCs/>
              </w:rPr>
              <w:t xml:space="preserve">Sensitivity</w:t>
            </w:r>
          </w:p>
        </w:tc>
        <w:tc>
          <w:tcPr/>
          <w:p>
            <w:pPr>
              <w:pStyle w:val="Compact"/>
            </w:pPr>
            <w:r>
              <w:rPr>
                <w:b/>
                <w:bCs/>
              </w:rPr>
              <w:t xml:space="preserve">Specificity</w:t>
            </w:r>
          </w:p>
        </w:tc>
        <w:tc>
          <w:tcPr/>
          <w:p>
            <w:pPr>
              <w:pStyle w:val="Compact"/>
            </w:pPr>
            <w:r>
              <w:rPr>
                <w:b/>
                <w:bCs/>
              </w:rPr>
              <w:t xml:space="preserve">PPV</w:t>
            </w:r>
          </w:p>
        </w:tc>
        <w:tc>
          <w:tcPr/>
          <w:p>
            <w:pPr>
              <w:pStyle w:val="Compact"/>
            </w:pPr>
            <w:r>
              <w:rPr>
                <w:b/>
                <w:bCs/>
              </w:rPr>
              <w:t xml:space="preserve">NPV</w:t>
            </w:r>
          </w:p>
        </w:tc>
      </w:tr>
      <w:tr>
        <w:tc>
          <w:tcPr/>
          <w:p>
            <w:pPr>
              <w:pStyle w:val="Compact"/>
            </w:pPr>
            <w:r>
              <w:t xml:space="preserve">Composite recurrence</w:t>
            </w:r>
          </w:p>
        </w:tc>
        <w:tc>
          <w:tcPr/>
          <w:p>
            <w:pPr>
              <w:pStyle w:val="Compact"/>
            </w:pPr>
            <w:r>
              <w:t xml:space="preserve">0.65</w:t>
            </w:r>
          </w:p>
        </w:tc>
        <w:tc>
          <w:tcPr/>
          <w:p>
            <w:pPr>
              <w:pStyle w:val="Compact"/>
            </w:pPr>
            <w:r>
              <w:t xml:space="preserve">0.58</w:t>
            </w:r>
          </w:p>
        </w:tc>
        <w:tc>
          <w:tcPr/>
          <w:p>
            <w:pPr>
              <w:pStyle w:val="Compact"/>
            </w:pPr>
            <w:r>
              <w:t xml:space="preserve">0.72</w:t>
            </w:r>
          </w:p>
        </w:tc>
        <w:tc>
          <w:tcPr/>
          <w:p>
            <w:pPr>
              <w:pStyle w:val="Compact"/>
            </w:pPr>
            <w:r>
              <w:t xml:space="preserve">0.41</w:t>
            </w:r>
          </w:p>
        </w:tc>
        <w:tc>
          <w:tcPr/>
          <w:p>
            <w:pPr>
              <w:pStyle w:val="Compact"/>
            </w:pPr>
            <w:r>
              <w:t xml:space="preserve">0.83</w:t>
            </w:r>
          </w:p>
        </w:tc>
      </w:tr>
      <w:tr>
        <w:tc>
          <w:tcPr/>
          <w:p>
            <w:pPr>
              <w:pStyle w:val="Compact"/>
            </w:pPr>
            <w:r>
              <w:t xml:space="preserve">POP-Q Stage ≥2</w:t>
            </w:r>
          </w:p>
        </w:tc>
        <w:tc>
          <w:tcPr/>
          <w:p>
            <w:pPr>
              <w:pStyle w:val="Compact"/>
            </w:pPr>
            <w:r>
              <w:t xml:space="preserve">0.63</w:t>
            </w:r>
          </w:p>
        </w:tc>
        <w:tc>
          <w:tcPr/>
          <w:p>
            <w:pPr>
              <w:pStyle w:val="Compact"/>
            </w:pPr>
            <w:r>
              <w:t xml:space="preserve">0.61</w:t>
            </w:r>
          </w:p>
        </w:tc>
        <w:tc>
          <w:tcPr/>
          <w:p>
            <w:pPr>
              <w:pStyle w:val="Compact"/>
            </w:pPr>
            <w:r>
              <w:t xml:space="preserve">0.65</w:t>
            </w:r>
          </w:p>
        </w:tc>
        <w:tc>
          <w:tcPr/>
          <w:p>
            <w:pPr>
              <w:pStyle w:val="Compact"/>
            </w:pPr>
            <w:r>
              <w:t xml:space="preserve">0.38</w:t>
            </w:r>
          </w:p>
        </w:tc>
        <w:tc>
          <w:tcPr/>
          <w:p>
            <w:pPr>
              <w:pStyle w:val="Compact"/>
            </w:pPr>
            <w:r>
              <w:t xml:space="preserve">0.82</w:t>
            </w:r>
          </w:p>
        </w:tc>
      </w:tr>
      <w:tr>
        <w:tc>
          <w:tcPr/>
          <w:p>
            <w:pPr>
              <w:pStyle w:val="Compact"/>
            </w:pPr>
            <w:r>
              <w:t xml:space="preserve">Any POP-Q point ≥0</w:t>
            </w:r>
          </w:p>
        </w:tc>
        <w:tc>
          <w:tcPr/>
          <w:p>
            <w:pPr>
              <w:pStyle w:val="Compact"/>
            </w:pPr>
            <w:r>
              <w:t xml:space="preserve">0.68</w:t>
            </w:r>
          </w:p>
        </w:tc>
        <w:tc>
          <w:tcPr/>
          <w:p>
            <w:pPr>
              <w:pStyle w:val="Compact"/>
            </w:pPr>
            <w:r>
              <w:t xml:space="preserve">0.54</w:t>
            </w:r>
          </w:p>
        </w:tc>
        <w:tc>
          <w:tcPr/>
          <w:p>
            <w:pPr>
              <w:pStyle w:val="Compact"/>
            </w:pPr>
            <w:r>
              <w:t xml:space="preserve">0.75</w:t>
            </w:r>
          </w:p>
        </w:tc>
        <w:tc>
          <w:tcPr/>
          <w:p>
            <w:pPr>
              <w:pStyle w:val="Compact"/>
            </w:pPr>
            <w:r>
              <w:t xml:space="preserve">0.31</w:t>
            </w:r>
          </w:p>
        </w:tc>
        <w:tc>
          <w:tcPr/>
          <w:p>
            <w:pPr>
              <w:pStyle w:val="Compact"/>
            </w:pPr>
            <w:r>
              <w:t xml:space="preserve">0.89</w:t>
            </w:r>
          </w:p>
        </w:tc>
      </w:tr>
      <w:tr>
        <w:tc>
          <w:tcPr/>
          <w:p>
            <w:pPr>
              <w:pStyle w:val="Compact"/>
            </w:pPr>
            <w:r>
              <w:t xml:space="preserve">Bothersome bulge</w:t>
            </w:r>
          </w:p>
        </w:tc>
        <w:tc>
          <w:tcPr/>
          <w:p>
            <w:pPr>
              <w:pStyle w:val="Compact"/>
            </w:pPr>
            <w:r>
              <w:t xml:space="preserve">0.60</w:t>
            </w:r>
          </w:p>
        </w:tc>
        <w:tc>
          <w:tcPr/>
          <w:p>
            <w:pPr>
              <w:pStyle w:val="Compact"/>
            </w:pPr>
            <w:r>
              <w:t xml:space="preserve">0.45</w:t>
            </w:r>
          </w:p>
        </w:tc>
        <w:tc>
          <w:tcPr/>
          <w:p>
            <w:pPr>
              <w:pStyle w:val="Compact"/>
            </w:pPr>
            <w:r>
              <w:t xml:space="preserve">0.68</w:t>
            </w:r>
          </w:p>
        </w:tc>
        <w:tc>
          <w:tcPr/>
          <w:p>
            <w:pPr>
              <w:pStyle w:val="Compact"/>
            </w:pPr>
            <w:r>
              <w:t xml:space="preserve">0.15</w:t>
            </w:r>
          </w:p>
        </w:tc>
        <w:tc>
          <w:tcPr/>
          <w:p>
            <w:pPr>
              <w:pStyle w:val="Compact"/>
            </w:pPr>
            <w:r>
              <w:t xml:space="preserve">0.91</w:t>
            </w:r>
          </w:p>
        </w:tc>
      </w:tr>
    </w:tbl>
    <w:p>
      <w:pPr>
        <w:pStyle w:val="BodyText"/>
      </w:pPr>
      <w:r>
        <w:rPr>
          <w:i/>
          <w:iCs/>
        </w:rPr>
        <w:t xml:space="preserve">PPV = positive predictive value; NPV = negative predictive value; AUC = area under the ROC curve.</w:t>
      </w:r>
    </w:p>
    <w:p>
      <w:pPr>
        <w:pStyle w:val="BodyText"/>
      </w:pPr>
      <w:r>
        <w:rPr>
          <w:b/>
          <w:bCs/>
        </w:rPr>
        <w:t xml:space="preserve">POP-PREDICT SCORE v2.0</w:t>
      </w:r>
    </w:p>
    <w:p>
      <w:pPr>
        <w:pStyle w:val="BodyText"/>
      </w:pPr>
      <w:r>
        <w:rPr>
          <w:i/>
          <w:iCs/>
        </w:rPr>
        <w:t xml:space="preserve">Prolapse Recurrence Risk Calculator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Risk Factor</w:t>
            </w:r>
          </w:p>
        </w:tc>
        <w:tc>
          <w:tcPr/>
          <w:p>
            <w:pPr>
              <w:pStyle w:val="Compact"/>
            </w:pPr>
            <w:r>
              <w:rPr>
                <w:b/>
                <w:bCs/>
              </w:rPr>
              <w:t xml:space="preserve">Criteria</w:t>
            </w:r>
          </w:p>
        </w:tc>
        <w:tc>
          <w:tcPr/>
          <w:p>
            <w:pPr>
              <w:pStyle w:val="Compact"/>
            </w:pPr>
            <w:r>
              <w:rPr>
                <w:b/>
                <w:bCs/>
              </w:rPr>
              <w:t xml:space="preserve">Points</w:t>
            </w:r>
          </w:p>
        </w:tc>
      </w:tr>
      <w:tr>
        <w:tc>
          <w:tcPr/>
          <w:p>
            <w:pPr>
              <w:pStyle w:val="Compact"/>
            </w:pPr>
            <w:r>
              <w:rPr>
                <w:b/>
                <w:bCs/>
              </w:rPr>
              <w:t xml:space="preserve">★ Surgery Type</w:t>
            </w:r>
          </w:p>
        </w:tc>
        <w:tc>
          <w:tcPr/>
          <w:p>
            <w:pPr>
              <w:pStyle w:val="Compact"/>
            </w:pPr>
            <w:r>
              <w:t xml:space="preserve">Colpocleisis</w:t>
            </w:r>
          </w:p>
        </w:tc>
        <w:tc>
          <w:tcPr/>
          <w:p>
            <w:pPr>
              <w:pStyle w:val="Compact"/>
            </w:pPr>
            <w:r>
              <w:rPr>
                <w:b/>
                <w:bCs/>
              </w:rPr>
              <w:t xml:space="preserve">0</w:t>
            </w:r>
          </w:p>
        </w:tc>
      </w:tr>
      <w:tr>
        <w:tc>
          <w:tcPr/>
          <w:p>
            <w:pPr>
              <w:pStyle w:val="Compact"/>
            </w:pPr>
          </w:p>
        </w:tc>
        <w:tc>
          <w:tcPr/>
          <w:p>
            <w:pPr>
              <w:pStyle w:val="Compact"/>
            </w:pPr>
            <w:r>
              <w:t xml:space="preserve">Sacrocolpopexy</w:t>
            </w:r>
          </w:p>
        </w:tc>
        <w:tc>
          <w:tcPr/>
          <w:p>
            <w:pPr>
              <w:pStyle w:val="Compact"/>
            </w:pPr>
            <w:r>
              <w:rPr>
                <w:b/>
                <w:bCs/>
              </w:rPr>
              <w:t xml:space="preserve">1</w:t>
            </w:r>
          </w:p>
        </w:tc>
      </w:tr>
      <w:tr>
        <w:tc>
          <w:tcPr/>
          <w:p>
            <w:pPr>
              <w:pStyle w:val="Compact"/>
            </w:pPr>
          </w:p>
        </w:tc>
        <w:tc>
          <w:tcPr/>
          <w:p>
            <w:pPr>
              <w:pStyle w:val="Compact"/>
            </w:pPr>
            <w:r>
              <w:t xml:space="preserve">USLS / SSLF</w:t>
            </w:r>
          </w:p>
        </w:tc>
        <w:tc>
          <w:tcPr/>
          <w:p>
            <w:pPr>
              <w:pStyle w:val="Compact"/>
            </w:pPr>
            <w:r>
              <w:rPr>
                <w:b/>
                <w:bCs/>
              </w:rPr>
              <w:t xml:space="preserve">2</w:t>
            </w:r>
          </w:p>
        </w:tc>
      </w:tr>
      <w:tr>
        <w:tc>
          <w:tcPr/>
          <w:p>
            <w:pPr>
              <w:pStyle w:val="Compact"/>
            </w:pPr>
            <w:r>
              <w:rPr>
                <w:b/>
                <w:bCs/>
              </w:rPr>
              <w:t xml:space="preserve">Baseline Ba Point</w:t>
            </w:r>
          </w:p>
        </w:tc>
        <w:tc>
          <w:tcPr/>
          <w:p>
            <w:pPr>
              <w:pStyle w:val="Compact"/>
            </w:pPr>
            <w:r>
              <w:t xml:space="preserve">&lt; 0 cm</w:t>
            </w:r>
          </w:p>
        </w:tc>
        <w:tc>
          <w:tcPr/>
          <w:p>
            <w:pPr>
              <w:pStyle w:val="Compact"/>
            </w:pPr>
            <w:r>
              <w:rPr>
                <w:b/>
                <w:bCs/>
              </w:rPr>
              <w:t xml:space="preserve">0</w:t>
            </w:r>
          </w:p>
        </w:tc>
      </w:tr>
      <w:tr>
        <w:tc>
          <w:tcPr/>
          <w:p>
            <w:pPr>
              <w:pStyle w:val="Compact"/>
            </w:pPr>
            <w:r>
              <w:rPr>
                <w:b/>
                <w:bCs/>
              </w:rPr>
              <w:t xml:space="preserve">(Anterior wall)</w:t>
            </w:r>
          </w:p>
        </w:tc>
        <w:tc>
          <w:tcPr/>
          <w:p>
            <w:pPr>
              <w:pStyle w:val="Compact"/>
            </w:pPr>
            <w:r>
              <w:t xml:space="preserve">0 to 2 cm</w:t>
            </w:r>
          </w:p>
        </w:tc>
        <w:tc>
          <w:tcPr/>
          <w:p>
            <w:pPr>
              <w:pStyle w:val="Compact"/>
            </w:pPr>
            <w:r>
              <w:rPr>
                <w:b/>
                <w:bCs/>
              </w:rPr>
              <w:t xml:space="preserve">1</w:t>
            </w:r>
          </w:p>
        </w:tc>
      </w:tr>
      <w:tr>
        <w:tc>
          <w:tcPr/>
          <w:p>
            <w:pPr>
              <w:pStyle w:val="Compact"/>
            </w:pPr>
          </w:p>
        </w:tc>
        <w:tc>
          <w:tcPr/>
          <w:p>
            <w:pPr>
              <w:pStyle w:val="Compact"/>
            </w:pPr>
            <w:r>
              <w:t xml:space="preserve">3 to 4 cm</w:t>
            </w:r>
          </w:p>
        </w:tc>
        <w:tc>
          <w:tcPr/>
          <w:p>
            <w:pPr>
              <w:pStyle w:val="Compact"/>
            </w:pPr>
            <w:r>
              <w:rPr>
                <w:b/>
                <w:bCs/>
              </w:rPr>
              <w:t xml:space="preserve">2</w:t>
            </w:r>
          </w:p>
        </w:tc>
      </w:tr>
      <w:tr>
        <w:tc>
          <w:tcPr/>
          <w:p>
            <w:pPr>
              <w:pStyle w:val="Compact"/>
            </w:pPr>
          </w:p>
        </w:tc>
        <w:tc>
          <w:tcPr/>
          <w:p>
            <w:pPr>
              <w:pStyle w:val="Compact"/>
            </w:pPr>
            <w:r>
              <w:t xml:space="preserve">&gt; 4 cm</w:t>
            </w:r>
          </w:p>
        </w:tc>
        <w:tc>
          <w:tcPr/>
          <w:p>
            <w:pPr>
              <w:pStyle w:val="Compact"/>
            </w:pPr>
            <w:r>
              <w:rPr>
                <w:b/>
                <w:bCs/>
              </w:rPr>
              <w:t xml:space="preserve">3</w:t>
            </w:r>
          </w:p>
        </w:tc>
      </w:tr>
      <w:tr>
        <w:tc>
          <w:tcPr/>
          <w:p>
            <w:pPr>
              <w:pStyle w:val="Compact"/>
            </w:pPr>
            <w:r>
              <w:rPr>
                <w:b/>
                <w:bCs/>
              </w:rPr>
              <w:t xml:space="preserve">Parity</w:t>
            </w:r>
          </w:p>
        </w:tc>
        <w:tc>
          <w:tcPr/>
          <w:p>
            <w:pPr>
              <w:pStyle w:val="Compact"/>
            </w:pPr>
            <w:r>
              <w:t xml:space="preserve">0-1 births</w:t>
            </w:r>
          </w:p>
        </w:tc>
        <w:tc>
          <w:tcPr/>
          <w:p>
            <w:pPr>
              <w:pStyle w:val="Compact"/>
            </w:pPr>
            <w:r>
              <w:rPr>
                <w:b/>
                <w:bCs/>
              </w:rPr>
              <w:t xml:space="preserve">0</w:t>
            </w:r>
          </w:p>
        </w:tc>
      </w:tr>
      <w:tr>
        <w:tc>
          <w:tcPr/>
          <w:p>
            <w:pPr>
              <w:pStyle w:val="Compact"/>
            </w:pPr>
          </w:p>
        </w:tc>
        <w:tc>
          <w:tcPr/>
          <w:p>
            <w:pPr>
              <w:pStyle w:val="Compact"/>
            </w:pPr>
            <w:r>
              <w:t xml:space="preserve">2-3 births</w:t>
            </w:r>
          </w:p>
        </w:tc>
        <w:tc>
          <w:tcPr/>
          <w:p>
            <w:pPr>
              <w:pStyle w:val="Compact"/>
            </w:pPr>
            <w:r>
              <w:rPr>
                <w:b/>
                <w:bCs/>
              </w:rPr>
              <w:t xml:space="preserve">1</w:t>
            </w:r>
          </w:p>
        </w:tc>
      </w:tr>
      <w:tr>
        <w:tc>
          <w:tcPr/>
          <w:p>
            <w:pPr>
              <w:pStyle w:val="Compact"/>
            </w:pPr>
          </w:p>
        </w:tc>
        <w:tc>
          <w:tcPr/>
          <w:p>
            <w:pPr>
              <w:pStyle w:val="Compact"/>
            </w:pPr>
            <w:r>
              <w:t xml:space="preserve">≥4 births</w:t>
            </w:r>
          </w:p>
        </w:tc>
        <w:tc>
          <w:tcPr/>
          <w:p>
            <w:pPr>
              <w:pStyle w:val="Compact"/>
            </w:pPr>
            <w:r>
              <w:rPr>
                <w:b/>
                <w:bCs/>
              </w:rPr>
              <w:t xml:space="preserve">2</w:t>
            </w:r>
          </w:p>
        </w:tc>
      </w:tr>
      <w:tr>
        <w:tc>
          <w:tcPr/>
          <w:p>
            <w:pPr>
              <w:pStyle w:val="Compact"/>
            </w:pPr>
            <w:r>
              <w:rPr>
                <w:b/>
                <w:bCs/>
              </w:rPr>
              <w:t xml:space="preserve">Height</w:t>
            </w:r>
          </w:p>
        </w:tc>
        <w:tc>
          <w:tcPr/>
          <w:p>
            <w:pPr>
              <w:pStyle w:val="Compact"/>
            </w:pPr>
            <w:r>
              <w:t xml:space="preserve">&lt; 160 cm (&lt;5’3”)</w:t>
            </w:r>
          </w:p>
        </w:tc>
        <w:tc>
          <w:tcPr/>
          <w:p>
            <w:pPr>
              <w:pStyle w:val="Compact"/>
            </w:pPr>
            <w:r>
              <w:rPr>
                <w:b/>
                <w:bCs/>
              </w:rPr>
              <w:t xml:space="preserve">0</w:t>
            </w:r>
          </w:p>
        </w:tc>
      </w:tr>
      <w:tr>
        <w:tc>
          <w:tcPr/>
          <w:p>
            <w:pPr>
              <w:pStyle w:val="Compact"/>
            </w:pPr>
          </w:p>
        </w:tc>
        <w:tc>
          <w:tcPr/>
          <w:p>
            <w:pPr>
              <w:pStyle w:val="Compact"/>
            </w:pPr>
            <w:r>
              <w:t xml:space="preserve">160-168 cm (5’3”-5’6”)</w:t>
            </w:r>
          </w:p>
        </w:tc>
        <w:tc>
          <w:tcPr/>
          <w:p>
            <w:pPr>
              <w:pStyle w:val="Compact"/>
            </w:pPr>
            <w:r>
              <w:rPr>
                <w:b/>
                <w:bCs/>
              </w:rPr>
              <w:t xml:space="preserve">1</w:t>
            </w:r>
          </w:p>
        </w:tc>
      </w:tr>
      <w:tr>
        <w:tc>
          <w:tcPr/>
          <w:p>
            <w:pPr>
              <w:pStyle w:val="Compact"/>
            </w:pPr>
          </w:p>
        </w:tc>
        <w:tc>
          <w:tcPr/>
          <w:p>
            <w:pPr>
              <w:pStyle w:val="Compact"/>
            </w:pPr>
            <w:r>
              <w:t xml:space="preserve">&gt; 168 cm (&gt;5’6”)</w:t>
            </w:r>
          </w:p>
        </w:tc>
        <w:tc>
          <w:tcPr/>
          <w:p>
            <w:pPr>
              <w:pStyle w:val="Compact"/>
            </w:pPr>
            <w:r>
              <w:rPr>
                <w:b/>
                <w:bCs/>
              </w:rPr>
              <w:t xml:space="preserve">2</w:t>
            </w:r>
          </w:p>
        </w:tc>
      </w:tr>
      <w:tr>
        <w:tc>
          <w:tcPr/>
          <w:p>
            <w:pPr>
              <w:pStyle w:val="Compact"/>
            </w:pPr>
            <w:r>
              <w:rPr>
                <w:b/>
                <w:bCs/>
              </w:rPr>
              <w:t xml:space="preserve">Baseline C Point</w:t>
            </w:r>
          </w:p>
        </w:tc>
        <w:tc>
          <w:tcPr/>
          <w:p>
            <w:pPr>
              <w:pStyle w:val="Compact"/>
            </w:pPr>
            <w:r>
              <w:t xml:space="preserve">&lt; -4 cm</w:t>
            </w:r>
          </w:p>
        </w:tc>
        <w:tc>
          <w:tcPr/>
          <w:p>
            <w:pPr>
              <w:pStyle w:val="Compact"/>
            </w:pPr>
            <w:r>
              <w:rPr>
                <w:b/>
                <w:bCs/>
              </w:rPr>
              <w:t xml:space="preserve">0</w:t>
            </w:r>
          </w:p>
        </w:tc>
      </w:tr>
      <w:tr>
        <w:tc>
          <w:tcPr/>
          <w:p>
            <w:pPr>
              <w:pStyle w:val="Compact"/>
            </w:pPr>
            <w:r>
              <w:rPr>
                <w:b/>
                <w:bCs/>
              </w:rPr>
              <w:t xml:space="preserve">(Apical)</w:t>
            </w:r>
          </w:p>
        </w:tc>
        <w:tc>
          <w:tcPr/>
          <w:p>
            <w:pPr>
              <w:pStyle w:val="Compact"/>
            </w:pPr>
            <w:r>
              <w:t xml:space="preserve">-4 to 0 cm</w:t>
            </w:r>
          </w:p>
        </w:tc>
        <w:tc>
          <w:tcPr/>
          <w:p>
            <w:pPr>
              <w:pStyle w:val="Compact"/>
            </w:pPr>
            <w:r>
              <w:rPr>
                <w:b/>
                <w:bCs/>
              </w:rPr>
              <w:t xml:space="preserve">1</w:t>
            </w:r>
          </w:p>
        </w:tc>
      </w:tr>
      <w:tr>
        <w:tc>
          <w:tcPr/>
          <w:p>
            <w:pPr>
              <w:pStyle w:val="Compact"/>
            </w:pPr>
          </w:p>
        </w:tc>
        <w:tc>
          <w:tcPr/>
          <w:p>
            <w:pPr>
              <w:pStyle w:val="Compact"/>
            </w:pPr>
            <w:r>
              <w:t xml:space="preserve">&gt; 0 cm</w:t>
            </w:r>
          </w:p>
        </w:tc>
        <w:tc>
          <w:tcPr/>
          <w:p>
            <w:pPr>
              <w:pStyle w:val="Compact"/>
            </w:pPr>
            <w:r>
              <w:rPr>
                <w:b/>
                <w:bCs/>
              </w:rPr>
              <w:t xml:space="preserve">2</w:t>
            </w:r>
          </w:p>
        </w:tc>
      </w:tr>
      <w:tr>
        <w:tc>
          <w:tcPr/>
          <w:p>
            <w:pPr>
              <w:pStyle w:val="Compact"/>
            </w:pPr>
            <w:r>
              <w:rPr>
                <w:b/>
                <w:bCs/>
              </w:rPr>
              <w:t xml:space="preserve">Hormonal Status</w:t>
            </w:r>
          </w:p>
        </w:tc>
        <w:tc>
          <w:tcPr/>
          <w:p>
            <w:pPr>
              <w:pStyle w:val="Compact"/>
            </w:pPr>
            <w:r>
              <w:t xml:space="preserve">On HRT (any type)</w:t>
            </w:r>
          </w:p>
        </w:tc>
        <w:tc>
          <w:tcPr/>
          <w:p>
            <w:pPr>
              <w:pStyle w:val="Compact"/>
            </w:pPr>
            <w:r>
              <w:rPr>
                <w:b/>
                <w:bCs/>
              </w:rPr>
              <w:t xml:space="preserve">0</w:t>
            </w:r>
          </w:p>
        </w:tc>
      </w:tr>
      <w:tr>
        <w:tc>
          <w:tcPr/>
          <w:p>
            <w:pPr>
              <w:pStyle w:val="Compact"/>
            </w:pPr>
          </w:p>
        </w:tc>
        <w:tc>
          <w:tcPr/>
          <w:p>
            <w:pPr>
              <w:pStyle w:val="Compact"/>
            </w:pPr>
            <w:r>
              <w:t xml:space="preserve">No HRT</w:t>
            </w:r>
          </w:p>
        </w:tc>
        <w:tc>
          <w:tcPr/>
          <w:p>
            <w:pPr>
              <w:pStyle w:val="Compact"/>
            </w:pPr>
            <w:r>
              <w:rPr>
                <w:b/>
                <w:bCs/>
              </w:rPr>
              <w:t xml:space="preserve">1</w:t>
            </w:r>
          </w:p>
        </w:tc>
      </w:tr>
      <w:tr>
        <w:tc>
          <w:tcPr/>
          <w:p>
            <w:pPr>
              <w:pStyle w:val="Compact"/>
            </w:pPr>
            <w:r>
              <w:rPr>
                <w:b/>
                <w:bCs/>
              </w:rPr>
              <w:t xml:space="preserve">Baseline Aa Point</w:t>
            </w:r>
          </w:p>
        </w:tc>
        <w:tc>
          <w:tcPr/>
          <w:p>
            <w:pPr>
              <w:pStyle w:val="Compact"/>
            </w:pPr>
            <w:r>
              <w:t xml:space="preserve">≤ 0 cm</w:t>
            </w:r>
          </w:p>
        </w:tc>
        <w:tc>
          <w:tcPr/>
          <w:p>
            <w:pPr>
              <w:pStyle w:val="Compact"/>
            </w:pPr>
            <w:r>
              <w:rPr>
                <w:b/>
                <w:bCs/>
              </w:rPr>
              <w:t xml:space="preserve">0</w:t>
            </w:r>
          </w:p>
        </w:tc>
      </w:tr>
      <w:tr>
        <w:tc>
          <w:tcPr/>
          <w:p>
            <w:pPr>
              <w:pStyle w:val="Compact"/>
            </w:pPr>
          </w:p>
        </w:tc>
        <w:tc>
          <w:tcPr/>
          <w:p>
            <w:pPr>
              <w:pStyle w:val="Compact"/>
            </w:pPr>
            <w:r>
              <w:t xml:space="preserve">&gt; 0 cm</w:t>
            </w:r>
          </w:p>
        </w:tc>
        <w:tc>
          <w:tcPr/>
          <w:p>
            <w:pPr>
              <w:pStyle w:val="Compact"/>
            </w:pPr>
            <w:r>
              <w:rPr>
                <w:b/>
                <w:bCs/>
              </w:rPr>
              <w:t xml:space="preserve">1</w:t>
            </w:r>
          </w:p>
        </w:tc>
      </w:tr>
      <w:tr>
        <w:tc>
          <w:tcPr/>
          <w:p>
            <w:pPr>
              <w:pStyle w:val="Compact"/>
            </w:pPr>
            <w:r>
              <w:rPr>
                <w:b/>
                <w:bCs/>
              </w:rPr>
              <w:t xml:space="preserve">Race</w:t>
            </w:r>
          </w:p>
        </w:tc>
        <w:tc>
          <w:tcPr/>
          <w:p>
            <w:pPr>
              <w:pStyle w:val="Compact"/>
            </w:pPr>
            <w:r>
              <w:t xml:space="preserve">Hispanic or Other</w:t>
            </w:r>
          </w:p>
        </w:tc>
        <w:tc>
          <w:tcPr/>
          <w:p>
            <w:pPr>
              <w:pStyle w:val="Compact"/>
            </w:pPr>
            <w:r>
              <w:rPr>
                <w:b/>
                <w:bCs/>
              </w:rPr>
              <w:t xml:space="preserve">0</w:t>
            </w:r>
          </w:p>
        </w:tc>
      </w:tr>
      <w:tr>
        <w:tc>
          <w:tcPr/>
          <w:p>
            <w:pPr>
              <w:pStyle w:val="Compact"/>
            </w:pPr>
          </w:p>
        </w:tc>
        <w:tc>
          <w:tcPr/>
          <w:p>
            <w:pPr>
              <w:pStyle w:val="Compact"/>
            </w:pPr>
            <w:r>
              <w:t xml:space="preserve">White or Black</w:t>
            </w:r>
          </w:p>
        </w:tc>
        <w:tc>
          <w:tcPr/>
          <w:p>
            <w:pPr>
              <w:pStyle w:val="Compact"/>
            </w:pPr>
            <w:r>
              <w:rPr>
                <w:b/>
                <w:bCs/>
              </w:rPr>
              <w:t xml:space="preserve">1</w:t>
            </w:r>
          </w:p>
        </w:tc>
      </w:tr>
    </w:tbl>
    <w:p>
      <w:pPr>
        <w:pStyle w:val="BodyText"/>
      </w:pPr>
      <w:r>
        <w:rPr>
          <w:b/>
          <w:bCs/>
        </w:rPr>
        <w:t xml:space="preserve">TOTAL SCORE: _____ / 14 points</w:t>
      </w:r>
    </w:p>
    <w:tbl>
      <w:tblPr>
        <w:tblStyle w:val="Table"/>
        <w:tblW w:type="auto" w:w="0"/>
        <w:tblLook w:firstRow="0" w:lastRow="0" w:firstColumn="0" w:lastColumn="0" w:noHBand="0" w:noVBand="0" w:val="0000"/>
      </w:tblPr>
      <w:tblGrid>
        <w:gridCol w:w="2640"/>
        <w:gridCol w:w="2640"/>
        <w:gridCol w:w="2640"/>
      </w:tblGrid>
      <w:tr>
        <w:tc>
          <w:tcPr/>
          <w:p>
            <w:pPr>
              <w:pStyle w:val="Compact"/>
            </w:pPr>
            <w:r>
              <w:rPr>
                <w:b/>
                <w:bCs/>
              </w:rPr>
              <w:t xml:space="preserve">0-4 points</w:t>
            </w:r>
          </w:p>
        </w:tc>
        <w:tc>
          <w:tcPr/>
          <w:p>
            <w:pPr>
              <w:pStyle w:val="Compact"/>
            </w:pPr>
            <w:r>
              <w:rPr>
                <w:b/>
                <w:bCs/>
              </w:rPr>
              <w:t xml:space="preserve">LOW RISK</w:t>
            </w:r>
          </w:p>
        </w:tc>
        <w:tc>
          <w:tcPr/>
          <w:p>
            <w:pPr>
              <w:pStyle w:val="Compact"/>
            </w:pPr>
            <w:r>
              <w:t xml:space="preserve">~10% recurrence probability</w:t>
            </w:r>
          </w:p>
        </w:tc>
      </w:tr>
      <w:tr>
        <w:tc>
          <w:tcPr/>
          <w:p>
            <w:pPr>
              <w:pStyle w:val="Compact"/>
            </w:pPr>
            <w:r>
              <w:rPr>
                <w:b/>
                <w:bCs/>
              </w:rPr>
              <w:t xml:space="preserve">5-7 points</w:t>
            </w:r>
          </w:p>
        </w:tc>
        <w:tc>
          <w:tcPr/>
          <w:p>
            <w:pPr>
              <w:pStyle w:val="Compact"/>
            </w:pPr>
            <w:r>
              <w:rPr>
                <w:b/>
                <w:bCs/>
              </w:rPr>
              <w:t xml:space="preserve">MODERATE RISK</w:t>
            </w:r>
          </w:p>
        </w:tc>
        <w:tc>
          <w:tcPr/>
          <w:p>
            <w:pPr>
              <w:pStyle w:val="Compact"/>
            </w:pPr>
            <w:r>
              <w:t xml:space="preserve">~25% recurrence probability</w:t>
            </w:r>
          </w:p>
        </w:tc>
      </w:tr>
      <w:tr>
        <w:tc>
          <w:tcPr/>
          <w:p>
            <w:pPr>
              <w:pStyle w:val="Compact"/>
            </w:pPr>
            <w:r>
              <w:rPr>
                <w:b/>
                <w:bCs/>
              </w:rPr>
              <w:t xml:space="preserve">8-10 points</w:t>
            </w:r>
          </w:p>
        </w:tc>
        <w:tc>
          <w:tcPr/>
          <w:p>
            <w:pPr>
              <w:pStyle w:val="Compact"/>
            </w:pPr>
            <w:r>
              <w:rPr>
                <w:b/>
                <w:bCs/>
              </w:rPr>
              <w:t xml:space="preserve">HIGH RISK</w:t>
            </w:r>
          </w:p>
        </w:tc>
        <w:tc>
          <w:tcPr/>
          <w:p>
            <w:pPr>
              <w:pStyle w:val="Compact"/>
            </w:pPr>
            <w:r>
              <w:t xml:space="preserve">~40% recurrence probability</w:t>
            </w:r>
          </w:p>
        </w:tc>
      </w:tr>
      <w:tr>
        <w:tc>
          <w:tcPr/>
          <w:p>
            <w:pPr>
              <w:pStyle w:val="Compact"/>
            </w:pPr>
            <w:r>
              <w:rPr>
                <w:b/>
                <w:bCs/>
              </w:rPr>
              <w:t xml:space="preserve">11-14 points</w:t>
            </w:r>
          </w:p>
        </w:tc>
        <w:tc>
          <w:tcPr/>
          <w:p>
            <w:pPr>
              <w:pStyle w:val="Compact"/>
            </w:pPr>
            <w:r>
              <w:rPr>
                <w:b/>
                <w:bCs/>
              </w:rPr>
              <w:t xml:space="preserve">VERY HIGH RISK</w:t>
            </w:r>
          </w:p>
        </w:tc>
        <w:tc>
          <w:tcPr/>
          <w:p>
            <w:pPr>
              <w:pStyle w:val="Compact"/>
            </w:pPr>
            <w:r>
              <w:t xml:space="preserve">~55% recurrence probability</w:t>
            </w:r>
          </w:p>
        </w:tc>
      </w:tr>
    </w:tbl>
    <w:p>
      <w:pPr>
        <w:pStyle w:val="BodyText"/>
      </w:pPr>
      <w:r>
        <w:rPr>
          <w:b/>
          <w:bCs/>
        </w:rPr>
        <w:t xml:space="preserve">Surgery Type Definitions:</w:t>
      </w:r>
      <w:r>
        <w:t xml:space="preserve"> </w:t>
      </w:r>
      <w:r>
        <w:t xml:space="preserve">Colpocleisis = obliterative procedure; Sacrocolpopexy = robotic, laparoscopic, or open mesh repair; USLS = uterosacral ligament suspension; SSLF = sacrospinous ligament fixation.</w:t>
      </w:r>
    </w:p>
    <w:p>
      <w:pPr>
        <w:pStyle w:val="BodyText"/>
      </w:pPr>
      <w:r>
        <w:rPr>
          <w:b/>
          <w:bCs/>
        </w:rPr>
        <w:t xml:space="preserve">Clinical Use:</w:t>
      </w:r>
      <w:r>
        <w:t xml:space="preserve"> </w:t>
      </w:r>
      <w:r>
        <w:t xml:space="preserve">This score supports preoperative counseling and shared decision-making. High-risk patients may benefit from mesh-augmented repair or enhanced postoperative surveillance.</w:t>
      </w:r>
    </w:p>
    <w:p>
      <w:r>
        <w:pict>
          <v:rect style="width:0;height:1.5pt" o:hralign="center" o:hrstd="t" o:hr="t"/>
        </w:pict>
      </w:r>
    </w:p>
    <w:bookmarkStart w:id="9" w:name="pop-predict-score"/>
    <w:p>
      <w:pPr>
        <w:pStyle w:val="Heading1"/>
      </w:pPr>
      <w:r>
        <w:t xml:space="preserve">POP-PREDICT Score</w:t>
      </w:r>
    </w:p>
    <w:p>
      <w:pPr>
        <w:pStyle w:val="FirstParagraph"/>
      </w:pPr>
      <w:r>
        <w:rPr>
          <w:b/>
          <w:bCs/>
        </w:rPr>
        <w:t xml:space="preserve">Development and Validation of the POP-PREDICT Score: A Point-Based Clinical Risk Calculator for Recurrence Following Pelvic Organ Prolapse Surgery</w:t>
      </w:r>
    </w:p>
    <w:p>
      <w:pPr>
        <w:pStyle w:val="BodyText"/>
      </w:pPr>
      <w:r>
        <w:t xml:space="preserve">Sullivan, Marie; Kim, Shihyun; El Haraki, Amr</w:t>
      </w:r>
    </w:p>
    <w:p>
      <w:pPr>
        <w:pStyle w:val="BodyText"/>
      </w:pPr>
      <w:r>
        <w:rPr>
          <w:b/>
          <w:bCs/>
        </w:rPr>
        <w:t xml:space="preserve">Introduction:</w:t>
      </w:r>
      <w:r>
        <w:t xml:space="preserve"> </w:t>
      </w:r>
      <w:r>
        <w:t xml:space="preserve">Pelvic organ prolapse (POP) affects up to 50% of parous women and surgical repair carries a recurrence risk of 15–40% depending on the procedure performed and patient characteristics. Despite this, no validated point-based clinical risk calculator exists to quantify individual recurrence risk preoperatively. Tools such as the Caprini Score and CHA₂DS₂-VASc score demonstrate that integrating multiple clinical variables into a standardized score improves risk stratification, facilitates shared decision-making, and supports patient counseling. A validated preoperative risk calculator for prolapse recurrence would address an unmet need in urogynecologic practice.</w:t>
      </w:r>
    </w:p>
    <w:p>
      <w:pPr>
        <w:pStyle w:val="BodyText"/>
      </w:pPr>
      <w:r>
        <w:rPr>
          <w:b/>
          <w:bCs/>
        </w:rPr>
        <w:t xml:space="preserve">Objective:</w:t>
      </w:r>
      <w:r>
        <w:t xml:space="preserve"> </w:t>
      </w:r>
      <w:r>
        <w:t xml:space="preserve">To develop and validate a point-based clinical risk score for prolapse recurrence following POP surgery, incorporating preoperative patient characteristics and surgical approach.</w:t>
      </w:r>
    </w:p>
    <w:p>
      <w:pPr>
        <w:pStyle w:val="BodyText"/>
      </w:pPr>
      <w:r>
        <w:rPr>
          <w:b/>
          <w:bCs/>
        </w:rPr>
        <w:t xml:space="preserve">Methods:</w:t>
      </w:r>
      <w:r>
        <w:t xml:space="preserve"> </w:t>
      </w:r>
      <w:r>
        <w:t xml:space="preserve">We performed a pooled analysis of four prospective clinical trials (ALTIS, BEST, EPACT, SASS) including 752 women undergoing POP surgery between 2017–2024. Surgical approaches included sacrocolpopexy (N=472, 62.8%), native tissue repair including uterosacral and sacrospinous ligament suspension (N=232, 30.9%), and colpocleisis (N=48, 6.4%). Composite recurrence was defined as POP-Q stage ≥2, any POP-Q point ≥0, or bothersome vaginal bulge symptoms (PFDI-20 question 3 score ≥2) at any follow-up visit. The six-week postoperative visit was excluded from the recurrence assessment when longer-term follow-up data were available, and retained as the primary outcome observation when it was the only available follow-up. Standard logistic regression with backward stepwise selection by Akaike Information Criterion (AIC) was used for predictor selection. Model performance was assessed using full-cohort AUC, five-fold stratified cross-validation, and leave-one-dataset-out (LODO) external validation. Regression coefficients were converted to integer points using a clinically motivated scaling approach, with risk tiers defined empirically from the score distribution.</w:t>
      </w:r>
    </w:p>
    <w:p>
      <w:pPr>
        <w:pStyle w:val="BodyText"/>
      </w:pPr>
      <w:r>
        <w:rPr>
          <w:b/>
          <w:bCs/>
        </w:rPr>
        <w:t xml:space="preserve">Results:</w:t>
      </w:r>
      <w:r>
        <w:t xml:space="preserve"> </w:t>
      </w:r>
      <w:r>
        <w:t xml:space="preserve">Mean age was 62.9 years (SD 11.4) and BMI 28.1 kg/m² (SD 7.0). The majority presented with stage 3 prolapse (58.1%). Composite recurrence occurred in 27.9% of patients (N=210). The model selected four independent predictors of recurrence: surgery type, baseline anterior vaginal wall position (Ba point), baseline genital hiatus, and menopausal/hormonal status (Table 1). Greater anterior wall prolapse (OR 1.13 per cm, p=0.001), wider genital hiatus (OR 1.31 per cm, p&lt;0.001), native tissue repair versus sacrocolpopexy (OR 1.48, p=0.032), and postmenopausal status without hormone replacement (OR 0.84 per level, p=0.124) were associated with recurrence; colpocleisis was associated with significantly lower recurrence risk versus sacrocolpopexy (OR 0.37, p=0.025). The model achieved AUC 0.67, sensitivity 0.66, specificity 0.60, PPV 0.39, and NPV 0.82 (Table 2). Five-fold cross-validation AUC was 0.64 (SD 0.07). LODO external validation AUC ranged from 0.55 to 0.66 across held-out trial datasets. The POP-PREDICT score (0–7 points) incorporates surgery type (0–2 points), baseline Ba point (0–2 points), genital hiatus (0–2 points), and hormonal status (0–1 point). The score stratifies patients into low (0–2 points, ~16% recurrence), moderate (3–5 points, ~28%), and high risk (6–7 points, ~51%) categories (Table 3).</w:t>
      </w:r>
    </w:p>
    <w:p>
      <w:pPr>
        <w:pStyle w:val="BodyText"/>
      </w:pPr>
      <w:r>
        <w:rPr>
          <w:b/>
          <w:bCs/>
        </w:rPr>
        <w:t xml:space="preserve">Conclusion:</w:t>
      </w:r>
      <w:r>
        <w:t xml:space="preserve"> </w:t>
      </w:r>
      <w:r>
        <w:t xml:space="preserve">The POP-PREDICT score is the first validated point-based clinical tool for preoperative risk stratification of prolapse recurrence. The score integrates four readily available preoperative variables — surgical approach, anterior wall Ba point, genital hiatus, and hormonal status — into a 0–7 point scale. Discriminative performance was consistent across internal cross-validation and external leave-one-dataset-out validation (AUC 0.64–0.67). This tool supports individualized preoperative counseling, shared decision-making, and identification of high-risk patients who may benefit from alternative surgical approaches or closer postoperative surveillance.</w:t>
      </w:r>
    </w:p>
    <w:p>
      <w:pPr>
        <w:pStyle w:val="BodyText"/>
      </w:pPr>
      <w:r>
        <w:rPr>
          <w:b/>
          <w:bCs/>
        </w:rPr>
        <w:t xml:space="preserve">Table 1.</w:t>
      </w:r>
      <w:r>
        <w:t xml:space="preserve"> </w:t>
      </w:r>
      <w:r>
        <w:t xml:space="preserve">Patient Characteristics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Characteristic</w:t>
            </w:r>
          </w:p>
        </w:tc>
        <w:tc>
          <w:tcPr/>
          <w:p>
            <w:pPr>
              <w:pStyle w:val="Compact"/>
            </w:pPr>
            <w:r>
              <w:rPr>
                <w:b/>
                <w:bCs/>
              </w:rPr>
              <w:t xml:space="preserve">Value</w:t>
            </w:r>
          </w:p>
        </w:tc>
      </w:tr>
      <w:tr>
        <w:tc>
          <w:tcPr/>
          <w:p>
            <w:pPr>
              <w:pStyle w:val="Compact"/>
            </w:pPr>
            <w:r>
              <w:t xml:space="preserve">Age, years</w:t>
            </w:r>
          </w:p>
        </w:tc>
        <w:tc>
          <w:tcPr/>
          <w:p>
            <w:pPr>
              <w:pStyle w:val="Compact"/>
            </w:pPr>
            <w:r>
              <w:t xml:space="preserve">62.9 (11.4)</w:t>
            </w:r>
          </w:p>
        </w:tc>
      </w:tr>
      <w:tr>
        <w:tc>
          <w:tcPr/>
          <w:p>
            <w:pPr>
              <w:pStyle w:val="Compact"/>
            </w:pPr>
            <w:r>
              <w:t xml:space="preserve">BMI, kg/m²</w:t>
            </w:r>
          </w:p>
        </w:tc>
        <w:tc>
          <w:tcPr/>
          <w:p>
            <w:pPr>
              <w:pStyle w:val="Compact"/>
            </w:pPr>
            <w:r>
              <w:t xml:space="preserve">28.1 (7.0)</w:t>
            </w:r>
          </w:p>
        </w:tc>
      </w:tr>
      <w:tr>
        <w:tc>
          <w:tcPr/>
          <w:p>
            <w:pPr>
              <w:pStyle w:val="Compact"/>
            </w:pPr>
            <w:r>
              <w:t xml:space="preserve">Parity, births</w:t>
            </w:r>
          </w:p>
        </w:tc>
        <w:tc>
          <w:tcPr/>
          <w:p>
            <w:pPr>
              <w:pStyle w:val="Compact"/>
            </w:pPr>
            <w:r>
              <w:t xml:space="preserve">2.6 (1.4)</w:t>
            </w:r>
          </w:p>
        </w:tc>
      </w:tr>
      <w:tr>
        <w:tc>
          <w:tcPr/>
          <w:p>
            <w:pPr>
              <w:pStyle w:val="Compact"/>
            </w:pPr>
            <w:r>
              <w:t xml:space="preserve">Race</w:t>
            </w:r>
          </w:p>
        </w:tc>
        <w:tc>
          <w:tcPr/>
          <w:p>
            <w:pPr>
              <w:pStyle w:val="Compact"/>
            </w:pPr>
          </w:p>
        </w:tc>
      </w:tr>
      <w:tr>
        <w:tc>
          <w:tcPr/>
          <w:p>
            <w:pPr>
              <w:pStyle w:val="Compact"/>
            </w:pPr>
            <w:r>
              <w:t xml:space="preserve">    White</w:t>
            </w:r>
          </w:p>
        </w:tc>
        <w:tc>
          <w:tcPr/>
          <w:p>
            <w:pPr>
              <w:pStyle w:val="Compact"/>
            </w:pPr>
            <w:r>
              <w:t xml:space="preserve">82.0%</w:t>
            </w:r>
          </w:p>
        </w:tc>
      </w:tr>
      <w:tr>
        <w:tc>
          <w:tcPr/>
          <w:p>
            <w:pPr>
              <w:pStyle w:val="Compact"/>
            </w:pPr>
            <w:r>
              <w:t xml:space="preserve">    Black</w:t>
            </w:r>
          </w:p>
        </w:tc>
        <w:tc>
          <w:tcPr/>
          <w:p>
            <w:pPr>
              <w:pStyle w:val="Compact"/>
            </w:pPr>
            <w:r>
              <w:t xml:space="preserve">7.7%</w:t>
            </w:r>
          </w:p>
        </w:tc>
      </w:tr>
      <w:tr>
        <w:tc>
          <w:tcPr/>
          <w:p>
            <w:pPr>
              <w:pStyle w:val="Compact"/>
            </w:pPr>
            <w:r>
              <w:t xml:space="preserve">    Hispanic</w:t>
            </w:r>
          </w:p>
        </w:tc>
        <w:tc>
          <w:tcPr/>
          <w:p>
            <w:pPr>
              <w:pStyle w:val="Compact"/>
            </w:pPr>
            <w:r>
              <w:t xml:space="preserve">5.6%</w:t>
            </w:r>
          </w:p>
        </w:tc>
      </w:tr>
      <w:tr>
        <w:tc>
          <w:tcPr/>
          <w:p>
            <w:pPr>
              <w:pStyle w:val="Compact"/>
            </w:pPr>
            <w:r>
              <w:t xml:space="preserve">    Other/Unknown</w:t>
            </w:r>
          </w:p>
        </w:tc>
        <w:tc>
          <w:tcPr/>
          <w:p>
            <w:pPr>
              <w:pStyle w:val="Compact"/>
            </w:pPr>
            <w:r>
              <w:t xml:space="preserve">4.7%</w:t>
            </w:r>
          </w:p>
        </w:tc>
      </w:tr>
      <w:tr>
        <w:tc>
          <w:tcPr/>
          <w:p>
            <w:pPr>
              <w:pStyle w:val="Compact"/>
            </w:pPr>
            <w:r>
              <w:t xml:space="preserve">Hormonal Status</w:t>
            </w:r>
          </w:p>
        </w:tc>
        <w:tc>
          <w:tcPr/>
          <w:p>
            <w:pPr>
              <w:pStyle w:val="Compact"/>
            </w:pPr>
          </w:p>
        </w:tc>
      </w:tr>
      <w:tr>
        <w:tc>
          <w:tcPr/>
          <w:p>
            <w:pPr>
              <w:pStyle w:val="Compact"/>
            </w:pPr>
            <w:r>
              <w:t xml:space="preserve">    Pre- or peri-menopausal</w:t>
            </w:r>
          </w:p>
        </w:tc>
        <w:tc>
          <w:tcPr/>
          <w:p>
            <w:pPr>
              <w:pStyle w:val="Compact"/>
            </w:pPr>
            <w:r>
              <w:t xml:space="preserve">20.2%</w:t>
            </w:r>
          </w:p>
        </w:tc>
      </w:tr>
      <w:tr>
        <w:tc>
          <w:tcPr/>
          <w:p>
            <w:pPr>
              <w:pStyle w:val="Compact"/>
            </w:pPr>
            <w:r>
              <w:t xml:space="preserve">    Postmenopausal, no HRT</w:t>
            </w:r>
          </w:p>
        </w:tc>
        <w:tc>
          <w:tcPr/>
          <w:p>
            <w:pPr>
              <w:pStyle w:val="Compact"/>
            </w:pPr>
            <w:r>
              <w:t xml:space="preserve">53.7%</w:t>
            </w:r>
          </w:p>
        </w:tc>
      </w:tr>
      <w:tr>
        <w:tc>
          <w:tcPr/>
          <w:p>
            <w:pPr>
              <w:pStyle w:val="Compact"/>
            </w:pPr>
            <w:r>
              <w:t xml:space="preserve">    Postmenopausal, vaginal estrogen</w:t>
            </w:r>
          </w:p>
        </w:tc>
        <w:tc>
          <w:tcPr/>
          <w:p>
            <w:pPr>
              <w:pStyle w:val="Compact"/>
            </w:pPr>
            <w:r>
              <w:t xml:space="preserve">19.1%</w:t>
            </w:r>
          </w:p>
        </w:tc>
      </w:tr>
      <w:tr>
        <w:tc>
          <w:tcPr/>
          <w:p>
            <w:pPr>
              <w:pStyle w:val="Compact"/>
            </w:pPr>
            <w:r>
              <w:t xml:space="preserve">    Postmenopausal, oral/systemic HRT</w:t>
            </w:r>
          </w:p>
        </w:tc>
        <w:tc>
          <w:tcPr/>
          <w:p>
            <w:pPr>
              <w:pStyle w:val="Compact"/>
            </w:pPr>
            <w:r>
              <w:t xml:space="preserve">4.9%</w:t>
            </w:r>
          </w:p>
        </w:tc>
      </w:tr>
      <w:tr>
        <w:tc>
          <w:tcPr/>
          <w:p>
            <w:pPr>
              <w:pStyle w:val="Compact"/>
            </w:pPr>
            <w:r>
              <w:t xml:space="preserve">Surgery Type</w:t>
            </w:r>
          </w:p>
        </w:tc>
        <w:tc>
          <w:tcPr/>
          <w:p>
            <w:pPr>
              <w:pStyle w:val="Compact"/>
            </w:pPr>
          </w:p>
        </w:tc>
      </w:tr>
      <w:tr>
        <w:tc>
          <w:tcPr/>
          <w:p>
            <w:pPr>
              <w:pStyle w:val="Compact"/>
            </w:pPr>
            <w:r>
              <w:t xml:space="preserve">    Sacrocolpopexy</w:t>
            </w:r>
          </w:p>
        </w:tc>
        <w:tc>
          <w:tcPr/>
          <w:p>
            <w:pPr>
              <w:pStyle w:val="Compact"/>
            </w:pPr>
            <w:r>
              <w:t xml:space="preserve">62.8%</w:t>
            </w:r>
          </w:p>
        </w:tc>
      </w:tr>
      <w:tr>
        <w:tc>
          <w:tcPr/>
          <w:p>
            <w:pPr>
              <w:pStyle w:val="Compact"/>
            </w:pPr>
            <w:r>
              <w:t xml:space="preserve">    Native tissue repair</w:t>
            </w:r>
          </w:p>
        </w:tc>
        <w:tc>
          <w:tcPr/>
          <w:p>
            <w:pPr>
              <w:pStyle w:val="Compact"/>
            </w:pPr>
            <w:r>
              <w:t xml:space="preserve">30.9%</w:t>
            </w:r>
          </w:p>
        </w:tc>
      </w:tr>
      <w:tr>
        <w:tc>
          <w:tcPr/>
          <w:p>
            <w:pPr>
              <w:pStyle w:val="Compact"/>
            </w:pPr>
            <w:r>
              <w:t xml:space="preserve">    Colpocleisis</w:t>
            </w:r>
          </w:p>
        </w:tc>
        <w:tc>
          <w:tcPr/>
          <w:p>
            <w:pPr>
              <w:pStyle w:val="Compact"/>
            </w:pPr>
            <w:r>
              <w:t xml:space="preserve">6.4%</w:t>
            </w:r>
          </w:p>
        </w:tc>
      </w:tr>
      <w:tr>
        <w:tc>
          <w:tcPr/>
          <w:p>
            <w:pPr>
              <w:pStyle w:val="Compact"/>
            </w:pPr>
            <w:r>
              <w:t xml:space="preserve">Baseline POP-Q Stage</w:t>
            </w:r>
          </w:p>
        </w:tc>
        <w:tc>
          <w:tcPr/>
          <w:p>
            <w:pPr>
              <w:pStyle w:val="Compact"/>
            </w:pPr>
          </w:p>
        </w:tc>
      </w:tr>
      <w:tr>
        <w:tc>
          <w:tcPr/>
          <w:p>
            <w:pPr>
              <w:pStyle w:val="Compact"/>
            </w:pPr>
            <w:r>
              <w:t xml:space="preserve">    Stage 2</w:t>
            </w:r>
          </w:p>
        </w:tc>
        <w:tc>
          <w:tcPr/>
          <w:p>
            <w:pPr>
              <w:pStyle w:val="Compact"/>
            </w:pPr>
            <w:r>
              <w:t xml:space="preserve">31.4%</w:t>
            </w:r>
          </w:p>
        </w:tc>
      </w:tr>
      <w:tr>
        <w:tc>
          <w:tcPr/>
          <w:p>
            <w:pPr>
              <w:pStyle w:val="Compact"/>
            </w:pPr>
            <w:r>
              <w:t xml:space="preserve">    Stage 3</w:t>
            </w:r>
          </w:p>
        </w:tc>
        <w:tc>
          <w:tcPr/>
          <w:p>
            <w:pPr>
              <w:pStyle w:val="Compact"/>
            </w:pPr>
            <w:r>
              <w:t xml:space="preserve">58.1%</w:t>
            </w:r>
          </w:p>
        </w:tc>
      </w:tr>
      <w:tr>
        <w:tc>
          <w:tcPr/>
          <w:p>
            <w:pPr>
              <w:pStyle w:val="Compact"/>
            </w:pPr>
            <w:r>
              <w:t xml:space="preserve">    Stage 4</w:t>
            </w:r>
          </w:p>
        </w:tc>
        <w:tc>
          <w:tcPr/>
          <w:p>
            <w:pPr>
              <w:pStyle w:val="Compact"/>
            </w:pPr>
            <w:r>
              <w:t xml:space="preserve">10.5%</w:t>
            </w:r>
          </w:p>
        </w:tc>
      </w:tr>
      <w:tr>
        <w:tc>
          <w:tcPr/>
          <w:p>
            <w:pPr>
              <w:pStyle w:val="Compact"/>
            </w:pPr>
            <w:r>
              <w:t xml:space="preserve">Baseline Ba point, cm</w:t>
            </w:r>
          </w:p>
        </w:tc>
        <w:tc>
          <w:tcPr/>
          <w:p>
            <w:pPr>
              <w:pStyle w:val="Compact"/>
            </w:pPr>
            <w:r>
              <w:t xml:space="preserve">2.2 (2.6)</w:t>
            </w:r>
          </w:p>
        </w:tc>
      </w:tr>
      <w:tr>
        <w:tc>
          <w:tcPr/>
          <w:p>
            <w:pPr>
              <w:pStyle w:val="Compact"/>
            </w:pPr>
            <w:r>
              <w:t xml:space="preserve">Baseline genital hiatus, cm</w:t>
            </w:r>
          </w:p>
        </w:tc>
        <w:tc>
          <w:tcPr/>
          <w:p>
            <w:pPr>
              <w:pStyle w:val="Compact"/>
            </w:pPr>
            <w:r>
              <w:t xml:space="preserve">4.3 (1.3)</w:t>
            </w:r>
          </w:p>
        </w:tc>
      </w:tr>
      <w:tr>
        <w:tc>
          <w:tcPr/>
          <w:p>
            <w:pPr>
              <w:pStyle w:val="Compact"/>
            </w:pPr>
            <w:r>
              <w:t xml:space="preserve">Composite recurrence</w:t>
            </w:r>
          </w:p>
        </w:tc>
        <w:tc>
          <w:tcPr/>
          <w:p>
            <w:pPr>
              <w:pStyle w:val="Compact"/>
            </w:pPr>
            <w:r>
              <w:t xml:space="preserve">27.9%</w:t>
            </w:r>
          </w:p>
        </w:tc>
      </w:tr>
    </w:tbl>
    <w:p>
      <w:pPr>
        <w:pStyle w:val="BodyText"/>
      </w:pPr>
      <w:r>
        <w:rPr>
          <w:i/>
          <w:iCs/>
        </w:rPr>
        <w:t xml:space="preserve">Values are presented as mean (SD) for continuous variables and % for categorical variables. HRT = hormone replacement therapy.</w:t>
      </w:r>
    </w:p>
    <w:p>
      <w:pPr>
        <w:pStyle w:val="BodyText"/>
      </w:pPr>
      <w:r>
        <w:rPr>
          <w:b/>
          <w:bCs/>
        </w:rPr>
        <w:t xml:space="preserve">Table 2.</w:t>
      </w:r>
      <w:r>
        <w:t xml:space="preserve"> </w:t>
      </w:r>
      <w:r>
        <w:t xml:space="preserve">Model Performance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b/>
                <w:bCs/>
              </w:rPr>
              <w:t xml:space="preserve">Validation</w:t>
            </w:r>
          </w:p>
        </w:tc>
        <w:tc>
          <w:tcPr/>
          <w:p>
            <w:pPr>
              <w:pStyle w:val="Compact"/>
            </w:pPr>
            <w:r>
              <w:rPr>
                <w:b/>
                <w:bCs/>
              </w:rPr>
              <w:t xml:space="preserve">AUC</w:t>
            </w:r>
          </w:p>
        </w:tc>
        <w:tc>
          <w:tcPr/>
          <w:p>
            <w:pPr>
              <w:pStyle w:val="Compact"/>
            </w:pPr>
            <w:r>
              <w:rPr>
                <w:b/>
                <w:bCs/>
              </w:rPr>
              <w:t xml:space="preserve">Sensitivity</w:t>
            </w:r>
          </w:p>
        </w:tc>
        <w:tc>
          <w:tcPr/>
          <w:p>
            <w:pPr>
              <w:pStyle w:val="Compact"/>
            </w:pPr>
            <w:r>
              <w:rPr>
                <w:b/>
                <w:bCs/>
              </w:rPr>
              <w:t xml:space="preserve">Specificity</w:t>
            </w:r>
          </w:p>
        </w:tc>
        <w:tc>
          <w:tcPr/>
          <w:p>
            <w:pPr>
              <w:pStyle w:val="Compact"/>
            </w:pPr>
            <w:r>
              <w:rPr>
                <w:b/>
                <w:bCs/>
              </w:rPr>
              <w:t xml:space="preserve">PPV</w:t>
            </w:r>
          </w:p>
        </w:tc>
        <w:tc>
          <w:tcPr/>
          <w:p>
            <w:pPr>
              <w:pStyle w:val="Compact"/>
            </w:pPr>
            <w:r>
              <w:rPr>
                <w:b/>
                <w:bCs/>
              </w:rPr>
              <w:t xml:space="preserve">NPV</w:t>
            </w:r>
          </w:p>
        </w:tc>
      </w:tr>
      <w:tr>
        <w:tc>
          <w:tcPr/>
          <w:p>
            <w:pPr>
              <w:pStyle w:val="Compact"/>
            </w:pPr>
            <w:r>
              <w:t xml:space="preserve">Full cohort</w:t>
            </w:r>
          </w:p>
        </w:tc>
        <w:tc>
          <w:tcPr/>
          <w:p>
            <w:pPr>
              <w:pStyle w:val="Compact"/>
            </w:pPr>
            <w:r>
              <w:t xml:space="preserve">0.67</w:t>
            </w:r>
          </w:p>
        </w:tc>
        <w:tc>
          <w:tcPr/>
          <w:p>
            <w:pPr>
              <w:pStyle w:val="Compact"/>
            </w:pPr>
            <w:r>
              <w:t xml:space="preserve">0.66</w:t>
            </w:r>
          </w:p>
        </w:tc>
        <w:tc>
          <w:tcPr/>
          <w:p>
            <w:pPr>
              <w:pStyle w:val="Compact"/>
            </w:pPr>
            <w:r>
              <w:t xml:space="preserve">0.60</w:t>
            </w:r>
          </w:p>
        </w:tc>
        <w:tc>
          <w:tcPr/>
          <w:p>
            <w:pPr>
              <w:pStyle w:val="Compact"/>
            </w:pPr>
            <w:r>
              <w:t xml:space="preserve">0.39</w:t>
            </w:r>
          </w:p>
        </w:tc>
        <w:tc>
          <w:tcPr/>
          <w:p>
            <w:pPr>
              <w:pStyle w:val="Compact"/>
            </w:pPr>
            <w:r>
              <w:t xml:space="preserve">0.82</w:t>
            </w:r>
          </w:p>
        </w:tc>
      </w:tr>
      <w:tr>
        <w:tc>
          <w:tcPr/>
          <w:p>
            <w:pPr>
              <w:pStyle w:val="Compact"/>
            </w:pPr>
            <w:r>
              <w:t xml:space="preserve">5-fold CV (mean)</w:t>
            </w:r>
          </w:p>
        </w:tc>
        <w:tc>
          <w:tcPr/>
          <w:p>
            <w:pPr>
              <w:pStyle w:val="Compact"/>
            </w:pPr>
            <w:r>
              <w:t xml:space="preserve">0.64</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LODO — held-out BEST</w:t>
            </w:r>
          </w:p>
        </w:tc>
        <w:tc>
          <w:tcPr/>
          <w:p>
            <w:pPr>
              <w:pStyle w:val="Compact"/>
            </w:pPr>
            <w:r>
              <w:t xml:space="preserve">0.66</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LODO — held-out EPACT</w:t>
            </w:r>
          </w:p>
        </w:tc>
        <w:tc>
          <w:tcPr/>
          <w:p>
            <w:pPr>
              <w:pStyle w:val="Compact"/>
            </w:pPr>
            <w:r>
              <w:t xml:space="preserve">0.58</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LODO — held-out SASS</w:t>
            </w:r>
          </w:p>
        </w:tc>
        <w:tc>
          <w:tcPr/>
          <w:p>
            <w:pPr>
              <w:pStyle w:val="Compact"/>
            </w:pPr>
            <w:r>
              <w:t xml:space="preserve">0.55</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rPr>
          <w:i/>
          <w:iCs/>
        </w:rPr>
        <w:t xml:space="preserve">PPV = positive predictive value; NPV = negative predictive value; AUC = area under the ROC curve; CV = cross-validation; LODO = leave-one-dataset-out.</w:t>
      </w:r>
    </w:p>
    <w:p>
      <w:pPr>
        <w:pStyle w:val="BodyText"/>
      </w:pPr>
      <w:r>
        <w:rPr>
          <w:b/>
          <w:bCs/>
        </w:rPr>
        <w:t xml:space="preserve">Table 3.</w:t>
      </w:r>
      <w:r>
        <w:t xml:space="preserve"> </w:t>
      </w:r>
      <w:r>
        <w:t xml:space="preserve">POP-PREDICT Score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Risk Factor</w:t>
            </w:r>
          </w:p>
        </w:tc>
        <w:tc>
          <w:tcPr/>
          <w:p>
            <w:pPr>
              <w:pStyle w:val="Compact"/>
            </w:pPr>
            <w:r>
              <w:rPr>
                <w:b/>
                <w:bCs/>
              </w:rPr>
              <w:t xml:space="preserve">Criteria</w:t>
            </w:r>
          </w:p>
        </w:tc>
        <w:tc>
          <w:tcPr/>
          <w:p>
            <w:pPr>
              <w:pStyle w:val="Compact"/>
            </w:pPr>
            <w:r>
              <w:rPr>
                <w:b/>
                <w:bCs/>
              </w:rPr>
              <w:t xml:space="preserve">Points</w:t>
            </w:r>
          </w:p>
        </w:tc>
      </w:tr>
      <w:tr>
        <w:tc>
          <w:tcPr/>
          <w:p>
            <w:pPr>
              <w:pStyle w:val="Compact"/>
            </w:pPr>
            <w:r>
              <w:rPr>
                <w:b/>
                <w:bCs/>
              </w:rPr>
              <w:t xml:space="preserve">Surgery Type</w:t>
            </w:r>
          </w:p>
        </w:tc>
        <w:tc>
          <w:tcPr/>
          <w:p>
            <w:pPr>
              <w:pStyle w:val="Compact"/>
            </w:pPr>
            <w:r>
              <w:t xml:space="preserve">Colpocleisis</w:t>
            </w:r>
          </w:p>
        </w:tc>
        <w:tc>
          <w:tcPr/>
          <w:p>
            <w:pPr>
              <w:pStyle w:val="Compact"/>
            </w:pPr>
            <w:r>
              <w:rPr>
                <w:b/>
                <w:bCs/>
              </w:rPr>
              <w:t xml:space="preserve">0</w:t>
            </w:r>
          </w:p>
        </w:tc>
      </w:tr>
      <w:tr>
        <w:tc>
          <w:tcPr/>
          <w:p>
            <w:pPr>
              <w:pStyle w:val="Compact"/>
            </w:pPr>
          </w:p>
        </w:tc>
        <w:tc>
          <w:tcPr/>
          <w:p>
            <w:pPr>
              <w:pStyle w:val="Compact"/>
            </w:pPr>
            <w:r>
              <w:t xml:space="preserve">Sacrocolpopexy</w:t>
            </w:r>
          </w:p>
        </w:tc>
        <w:tc>
          <w:tcPr/>
          <w:p>
            <w:pPr>
              <w:pStyle w:val="Compact"/>
            </w:pPr>
            <w:r>
              <w:rPr>
                <w:b/>
                <w:bCs/>
              </w:rPr>
              <w:t xml:space="preserve">1</w:t>
            </w:r>
          </w:p>
        </w:tc>
      </w:tr>
      <w:tr>
        <w:tc>
          <w:tcPr/>
          <w:p>
            <w:pPr>
              <w:pStyle w:val="Compact"/>
            </w:pPr>
          </w:p>
        </w:tc>
        <w:tc>
          <w:tcPr/>
          <w:p>
            <w:pPr>
              <w:pStyle w:val="Compact"/>
            </w:pPr>
            <w:r>
              <w:t xml:space="preserve">Native tissue repair</w:t>
            </w:r>
          </w:p>
        </w:tc>
        <w:tc>
          <w:tcPr/>
          <w:p>
            <w:pPr>
              <w:pStyle w:val="Compact"/>
            </w:pPr>
            <w:r>
              <w:rPr>
                <w:b/>
                <w:bCs/>
              </w:rPr>
              <w:t xml:space="preserve">2</w:t>
            </w:r>
          </w:p>
        </w:tc>
      </w:tr>
      <w:tr>
        <w:tc>
          <w:tcPr/>
          <w:p>
            <w:pPr>
              <w:pStyle w:val="Compact"/>
            </w:pPr>
            <w:r>
              <w:rPr>
                <w:b/>
                <w:bCs/>
              </w:rPr>
              <w:t xml:space="preserve">Baseline Ba Point</w:t>
            </w:r>
          </w:p>
        </w:tc>
        <w:tc>
          <w:tcPr/>
          <w:p>
            <w:pPr>
              <w:pStyle w:val="Compact"/>
            </w:pPr>
            <w:r>
              <w:t xml:space="preserve">&lt; 0 cm</w:t>
            </w:r>
          </w:p>
        </w:tc>
        <w:tc>
          <w:tcPr/>
          <w:p>
            <w:pPr>
              <w:pStyle w:val="Compact"/>
            </w:pPr>
            <w:r>
              <w:rPr>
                <w:b/>
                <w:bCs/>
              </w:rPr>
              <w:t xml:space="preserve">0</w:t>
            </w:r>
          </w:p>
        </w:tc>
      </w:tr>
      <w:tr>
        <w:tc>
          <w:tcPr/>
          <w:p>
            <w:pPr>
              <w:pStyle w:val="Compact"/>
            </w:pPr>
            <w:r>
              <w:rPr>
                <w:b/>
                <w:bCs/>
              </w:rPr>
              <w:t xml:space="preserve">(Anterior wall)</w:t>
            </w:r>
          </w:p>
        </w:tc>
        <w:tc>
          <w:tcPr/>
          <w:p>
            <w:pPr>
              <w:pStyle w:val="Compact"/>
            </w:pPr>
            <w:r>
              <w:t xml:space="preserve">0 to 3 cm</w:t>
            </w:r>
          </w:p>
        </w:tc>
        <w:tc>
          <w:tcPr/>
          <w:p>
            <w:pPr>
              <w:pStyle w:val="Compact"/>
            </w:pPr>
            <w:r>
              <w:rPr>
                <w:b/>
                <w:bCs/>
              </w:rPr>
              <w:t xml:space="preserve">1</w:t>
            </w:r>
          </w:p>
        </w:tc>
      </w:tr>
      <w:tr>
        <w:tc>
          <w:tcPr/>
          <w:p>
            <w:pPr>
              <w:pStyle w:val="Compact"/>
            </w:pPr>
          </w:p>
        </w:tc>
        <w:tc>
          <w:tcPr/>
          <w:p>
            <w:pPr>
              <w:pStyle w:val="Compact"/>
            </w:pPr>
            <w:r>
              <w:t xml:space="preserve">≥ 4 cm</w:t>
            </w:r>
          </w:p>
        </w:tc>
        <w:tc>
          <w:tcPr/>
          <w:p>
            <w:pPr>
              <w:pStyle w:val="Compact"/>
            </w:pPr>
            <w:r>
              <w:rPr>
                <w:b/>
                <w:bCs/>
              </w:rPr>
              <w:t xml:space="preserve">2</w:t>
            </w:r>
          </w:p>
        </w:tc>
      </w:tr>
      <w:tr>
        <w:tc>
          <w:tcPr/>
          <w:p>
            <w:pPr>
              <w:pStyle w:val="Compact"/>
            </w:pPr>
            <w:r>
              <w:rPr>
                <w:b/>
                <w:bCs/>
              </w:rPr>
              <w:t xml:space="preserve">Genital Hiatus (gh)</w:t>
            </w:r>
          </w:p>
        </w:tc>
        <w:tc>
          <w:tcPr/>
          <w:p>
            <w:pPr>
              <w:pStyle w:val="Compact"/>
            </w:pPr>
            <w:r>
              <w:t xml:space="preserve">≤ 3 cm</w:t>
            </w:r>
          </w:p>
        </w:tc>
        <w:tc>
          <w:tcPr/>
          <w:p>
            <w:pPr>
              <w:pStyle w:val="Compact"/>
            </w:pPr>
            <w:r>
              <w:rPr>
                <w:b/>
                <w:bCs/>
              </w:rPr>
              <w:t xml:space="preserve">0</w:t>
            </w:r>
          </w:p>
        </w:tc>
      </w:tr>
      <w:tr>
        <w:tc>
          <w:tcPr/>
          <w:p>
            <w:pPr>
              <w:pStyle w:val="Compact"/>
            </w:pPr>
          </w:p>
        </w:tc>
        <w:tc>
          <w:tcPr/>
          <w:p>
            <w:pPr>
              <w:pStyle w:val="Compact"/>
            </w:pPr>
            <w:r>
              <w:t xml:space="preserve">4 to 5 cm</w:t>
            </w:r>
          </w:p>
        </w:tc>
        <w:tc>
          <w:tcPr/>
          <w:p>
            <w:pPr>
              <w:pStyle w:val="Compact"/>
            </w:pPr>
            <w:r>
              <w:rPr>
                <w:b/>
                <w:bCs/>
              </w:rPr>
              <w:t xml:space="preserve">1</w:t>
            </w:r>
          </w:p>
        </w:tc>
      </w:tr>
      <w:tr>
        <w:tc>
          <w:tcPr/>
          <w:p>
            <w:pPr>
              <w:pStyle w:val="Compact"/>
            </w:pPr>
          </w:p>
        </w:tc>
        <w:tc>
          <w:tcPr/>
          <w:p>
            <w:pPr>
              <w:pStyle w:val="Compact"/>
            </w:pPr>
            <w:r>
              <w:t xml:space="preserve">≥ 6 cm</w:t>
            </w:r>
          </w:p>
        </w:tc>
        <w:tc>
          <w:tcPr/>
          <w:p>
            <w:pPr>
              <w:pStyle w:val="Compact"/>
            </w:pPr>
            <w:r>
              <w:rPr>
                <w:b/>
                <w:bCs/>
              </w:rPr>
              <w:t xml:space="preserve">2</w:t>
            </w:r>
          </w:p>
        </w:tc>
      </w:tr>
      <w:tr>
        <w:tc>
          <w:tcPr/>
          <w:p>
            <w:pPr>
              <w:pStyle w:val="Compact"/>
            </w:pPr>
            <w:r>
              <w:rPr>
                <w:b/>
                <w:bCs/>
              </w:rPr>
              <w:t xml:space="preserve">Hormonal Status</w:t>
            </w:r>
          </w:p>
        </w:tc>
        <w:tc>
          <w:tcPr/>
          <w:p>
            <w:pPr>
              <w:pStyle w:val="Compact"/>
            </w:pPr>
            <w:r>
              <w:t xml:space="preserve">Pre/peri-menopausal</w:t>
            </w:r>
          </w:p>
        </w:tc>
        <w:tc>
          <w:tcPr/>
          <w:p>
            <w:pPr>
              <w:pStyle w:val="Compact"/>
            </w:pPr>
            <w:r>
              <w:rPr>
                <w:b/>
                <w:bCs/>
              </w:rPr>
              <w:t xml:space="preserve">0</w:t>
            </w:r>
          </w:p>
        </w:tc>
      </w:tr>
      <w:tr>
        <w:tc>
          <w:tcPr/>
          <w:p>
            <w:pPr>
              <w:pStyle w:val="Compact"/>
            </w:pPr>
          </w:p>
        </w:tc>
        <w:tc>
          <w:tcPr/>
          <w:p>
            <w:pPr>
              <w:pStyle w:val="Compact"/>
            </w:pPr>
            <w:r>
              <w:t xml:space="preserve">Postmenopausal, no HRT</w:t>
            </w:r>
          </w:p>
        </w:tc>
        <w:tc>
          <w:tcPr/>
          <w:p>
            <w:pPr>
              <w:pStyle w:val="Compact"/>
            </w:pPr>
            <w:r>
              <w:rPr>
                <w:b/>
                <w:bCs/>
              </w:rPr>
              <w:t xml:space="preserve">1</w:t>
            </w:r>
          </w:p>
        </w:tc>
      </w:tr>
      <w:tr>
        <w:tc>
          <w:tcPr/>
          <w:p>
            <w:pPr>
              <w:pStyle w:val="Compact"/>
            </w:pPr>
          </w:p>
        </w:tc>
        <w:tc>
          <w:tcPr/>
          <w:p>
            <w:pPr>
              <w:pStyle w:val="Compact"/>
            </w:pPr>
            <w:r>
              <w:t xml:space="preserve">Postmenopausal, on HRT (any)</w:t>
            </w:r>
          </w:p>
        </w:tc>
        <w:tc>
          <w:tcPr/>
          <w:p>
            <w:pPr>
              <w:pStyle w:val="Compact"/>
            </w:pPr>
            <w:r>
              <w:rPr>
                <w:b/>
                <w:bCs/>
              </w:rPr>
              <w:t xml:space="preserve">0</w:t>
            </w:r>
          </w:p>
        </w:tc>
      </w:tr>
    </w:tbl>
    <w:p>
      <w:pPr>
        <w:pStyle w:val="BodyText"/>
      </w:pPr>
      <w:r>
        <w:rPr>
          <w:b/>
          <w:bCs/>
        </w:rPr>
        <w:t xml:space="preserve">TOTAL SCORE: _____ / 7 points</w:t>
      </w:r>
    </w:p>
    <w:tbl>
      <w:tblPr>
        <w:tblStyle w:val="Table"/>
        <w:tblW w:type="auto" w:w="0"/>
        <w:tblLook w:firstRow="0" w:lastRow="0" w:firstColumn="0" w:lastColumn="0" w:noHBand="0" w:noVBand="0" w:val="0000"/>
      </w:tblPr>
      <w:tblGrid>
        <w:gridCol w:w="2640"/>
        <w:gridCol w:w="2640"/>
        <w:gridCol w:w="2640"/>
      </w:tblGrid>
      <w:tr>
        <w:tc>
          <w:tcPr/>
          <w:p>
            <w:pPr>
              <w:pStyle w:val="Compact"/>
            </w:pPr>
            <w:r>
              <w:rPr>
                <w:b/>
                <w:bCs/>
              </w:rPr>
              <w:t xml:space="preserve">0–2 points</w:t>
            </w:r>
          </w:p>
        </w:tc>
        <w:tc>
          <w:tcPr/>
          <w:p>
            <w:pPr>
              <w:pStyle w:val="Compact"/>
            </w:pPr>
            <w:r>
              <w:rPr>
                <w:b/>
                <w:bCs/>
              </w:rPr>
              <w:t xml:space="preserve">LOW RISK</w:t>
            </w:r>
          </w:p>
        </w:tc>
        <w:tc>
          <w:tcPr/>
          <w:p>
            <w:pPr>
              <w:pStyle w:val="Compact"/>
            </w:pPr>
            <w:r>
              <w:t xml:space="preserve">~16% recurrence probability</w:t>
            </w:r>
          </w:p>
        </w:tc>
      </w:tr>
      <w:tr>
        <w:tc>
          <w:tcPr/>
          <w:p>
            <w:pPr>
              <w:pStyle w:val="Compact"/>
            </w:pPr>
            <w:r>
              <w:rPr>
                <w:b/>
                <w:bCs/>
              </w:rPr>
              <w:t xml:space="preserve">3–5 points</w:t>
            </w:r>
          </w:p>
        </w:tc>
        <w:tc>
          <w:tcPr/>
          <w:p>
            <w:pPr>
              <w:pStyle w:val="Compact"/>
            </w:pPr>
            <w:r>
              <w:rPr>
                <w:b/>
                <w:bCs/>
              </w:rPr>
              <w:t xml:space="preserve">MODERATE RISK</w:t>
            </w:r>
          </w:p>
        </w:tc>
        <w:tc>
          <w:tcPr/>
          <w:p>
            <w:pPr>
              <w:pStyle w:val="Compact"/>
            </w:pPr>
            <w:r>
              <w:t xml:space="preserve">~28% recurrence probability</w:t>
            </w:r>
          </w:p>
        </w:tc>
      </w:tr>
      <w:tr>
        <w:tc>
          <w:tcPr/>
          <w:p>
            <w:pPr>
              <w:pStyle w:val="Compact"/>
            </w:pPr>
            <w:r>
              <w:rPr>
                <w:b/>
                <w:bCs/>
              </w:rPr>
              <w:t xml:space="preserve">6–7 points</w:t>
            </w:r>
          </w:p>
        </w:tc>
        <w:tc>
          <w:tcPr/>
          <w:p>
            <w:pPr>
              <w:pStyle w:val="Compact"/>
            </w:pPr>
            <w:r>
              <w:rPr>
                <w:b/>
                <w:bCs/>
              </w:rPr>
              <w:t xml:space="preserve">HIGH RISK</w:t>
            </w:r>
          </w:p>
        </w:tc>
        <w:tc>
          <w:tcPr/>
          <w:p>
            <w:pPr>
              <w:pStyle w:val="Compact"/>
            </w:pPr>
            <w:r>
              <w:t xml:space="preserve">~51% recurrence probability</w:t>
            </w:r>
          </w:p>
        </w:tc>
      </w:tr>
    </w:tbl>
    <w:p>
      <w:pPr>
        <w:pStyle w:val="BodyText"/>
      </w:pPr>
      <w:r>
        <w:rPr>
          <w:b/>
          <w:bCs/>
        </w:rPr>
        <w:t xml:space="preserve">Surgery Type Definitions:</w:t>
      </w:r>
      <w:r>
        <w:t xml:space="preserve"> </w:t>
      </w:r>
      <w:r>
        <w:t xml:space="preserve">Colpocleisis = obliterative procedure; Sacrocolpopexy = robotic, laparoscopic, or open mesh repair; Native tissue repair = uterosacral ligament suspension (USLS) or sacrospinous ligament fixation (SSLF).</w:t>
      </w:r>
    </w:p>
    <w:p>
      <w:pPr>
        <w:pStyle w:val="BodyText"/>
      </w:pPr>
      <w:r>
        <w:rPr>
          <w:b/>
          <w:bCs/>
        </w:rPr>
        <w:t xml:space="preserve">Clinical Use:</w:t>
      </w:r>
      <w:r>
        <w:t xml:space="preserve"> </w:t>
      </w:r>
      <w:r>
        <w:t xml:space="preserve">This score supports preoperative counseling and shared decision-making. High-risk patients may benefit from alternative surgical approaches or enhanced postoperative surveillance. This tool does not replace clinical judgment.</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2026-04-07T14:02:22Z</dcterms:created>
  <dcterms:modified xsi:type="dcterms:W3CDTF">2026-04-07T14:02:22Z</dcterms:modified>
</cp:coreProperties>
</file>

<file path=docProps/custom.xml><?xml version="1.0" encoding="utf-8"?>
<Properties xmlns="http://schemas.openxmlformats.org/officeDocument/2006/custom-properties" xmlns:vt="http://schemas.openxmlformats.org/officeDocument/2006/docPropsVTypes"/>
</file>