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7BA5" w14:textId="77777777" w:rsidR="003A6351" w:rsidRPr="00E76848" w:rsidRDefault="003A6351" w:rsidP="00CE7BAD">
      <w:pPr>
        <w:tabs>
          <w:tab w:val="left" w:pos="284"/>
        </w:tabs>
        <w:suppressAutoHyphens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ar-SA"/>
        </w:rPr>
      </w:pPr>
      <w:r w:rsidRPr="00E76848">
        <w:rPr>
          <w:rFonts w:ascii="Times New Roman" w:eastAsia="Times New Roman" w:hAnsi="Times New Roman"/>
          <w:b/>
          <w:sz w:val="26"/>
          <w:szCs w:val="26"/>
          <w:lang w:eastAsia="ar-SA"/>
        </w:rPr>
        <w:t>SERVICES DE CONSULTANT-</w:t>
      </w:r>
      <w:r w:rsidR="007E60F0" w:rsidRPr="00E76848">
        <w:rPr>
          <w:rFonts w:ascii="Times New Roman" w:eastAsia="Times New Roman" w:hAnsi="Times New Roman"/>
          <w:b/>
          <w:sz w:val="26"/>
          <w:szCs w:val="26"/>
          <w:lang w:eastAsia="ar-SA"/>
        </w:rPr>
        <w:t>INDIVUDUELS</w:t>
      </w:r>
    </w:p>
    <w:p w14:paraId="339E6878" w14:textId="77777777" w:rsidR="003A6351" w:rsidRPr="00E76848" w:rsidRDefault="003A6351" w:rsidP="00CE7BAD">
      <w:pPr>
        <w:suppressAutoHyphens/>
        <w:spacing w:after="0" w:line="240" w:lineRule="auto"/>
        <w:jc w:val="center"/>
        <w:rPr>
          <w:rFonts w:ascii="Times New Roman" w:eastAsia="Arial" w:hAnsi="Times New Roman"/>
          <w:spacing w:val="-2"/>
          <w:sz w:val="26"/>
          <w:szCs w:val="26"/>
          <w:lang w:eastAsia="ar-SA"/>
        </w:rPr>
      </w:pPr>
    </w:p>
    <w:p w14:paraId="5F1AA347" w14:textId="77777777" w:rsidR="003A6351" w:rsidRPr="00E76848" w:rsidRDefault="003A6351" w:rsidP="00CE7BAD">
      <w:pPr>
        <w:tabs>
          <w:tab w:val="left" w:pos="284"/>
        </w:tabs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pacing w:val="-2"/>
          <w:sz w:val="26"/>
          <w:szCs w:val="26"/>
          <w:lang w:eastAsia="ar-SA"/>
        </w:rPr>
      </w:pPr>
      <w:r w:rsidRPr="00E76848">
        <w:rPr>
          <w:rFonts w:ascii="Times New Roman" w:eastAsia="Times New Roman" w:hAnsi="Times New Roman"/>
          <w:b/>
          <w:spacing w:val="-2"/>
          <w:sz w:val="26"/>
          <w:szCs w:val="26"/>
          <w:lang w:eastAsia="ar-SA"/>
        </w:rPr>
        <w:t>REPUBLIQUE DEMOCRATIQUE DU CONGO</w:t>
      </w:r>
    </w:p>
    <w:p w14:paraId="1BF6B2E9" w14:textId="77777777" w:rsidR="003A6351" w:rsidRPr="00E76848" w:rsidRDefault="003A6351" w:rsidP="00CE7BAD">
      <w:pPr>
        <w:tabs>
          <w:tab w:val="left" w:pos="284"/>
        </w:tabs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pacing w:val="-2"/>
          <w:sz w:val="26"/>
          <w:szCs w:val="26"/>
          <w:lang w:eastAsia="ar-SA"/>
        </w:rPr>
      </w:pPr>
    </w:p>
    <w:p w14:paraId="623A5F7F" w14:textId="77777777" w:rsidR="003A6351" w:rsidRPr="00E76848" w:rsidRDefault="00EF2FDB" w:rsidP="00EF2FDB">
      <w:pPr>
        <w:tabs>
          <w:tab w:val="left" w:pos="284"/>
          <w:tab w:val="left" w:pos="4040"/>
        </w:tabs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pacing w:val="-2"/>
          <w:sz w:val="26"/>
          <w:szCs w:val="26"/>
          <w:lang w:eastAsia="ar-SA"/>
        </w:rPr>
      </w:pPr>
      <w:r w:rsidRPr="00E76848">
        <w:rPr>
          <w:rFonts w:ascii="Times New Roman" w:eastAsia="Times New Roman" w:hAnsi="Times New Roman"/>
          <w:b/>
          <w:spacing w:val="-2"/>
          <w:sz w:val="26"/>
          <w:szCs w:val="26"/>
          <w:lang w:eastAsia="ar-SA"/>
        </w:rPr>
        <w:t xml:space="preserve">MINISTERE DES </w:t>
      </w:r>
      <w:r>
        <w:rPr>
          <w:rFonts w:ascii="Times New Roman" w:eastAsia="Times New Roman" w:hAnsi="Times New Roman"/>
          <w:b/>
          <w:spacing w:val="-2"/>
          <w:sz w:val="26"/>
          <w:szCs w:val="26"/>
          <w:lang w:eastAsia="ar-SA"/>
        </w:rPr>
        <w:t>FINANCES</w:t>
      </w:r>
    </w:p>
    <w:p w14:paraId="746E7695" w14:textId="77777777" w:rsidR="003A6351" w:rsidRPr="00E76848" w:rsidRDefault="003A6351" w:rsidP="00CE7BAD">
      <w:pPr>
        <w:tabs>
          <w:tab w:val="left" w:pos="284"/>
        </w:tabs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pacing w:val="-2"/>
          <w:sz w:val="26"/>
          <w:szCs w:val="26"/>
          <w:lang w:eastAsia="ar-SA"/>
        </w:rPr>
      </w:pPr>
    </w:p>
    <w:p w14:paraId="4CC81E1A" w14:textId="77777777" w:rsidR="00EF2FDB" w:rsidRDefault="00EF2FDB" w:rsidP="00EF2FDB">
      <w:pPr>
        <w:tabs>
          <w:tab w:val="left" w:pos="284"/>
        </w:tabs>
        <w:suppressAutoHyphens/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EF2FDB">
        <w:rPr>
          <w:rFonts w:ascii="Times New Roman" w:hAnsi="Times New Roman"/>
          <w:b/>
          <w:sz w:val="26"/>
          <w:szCs w:val="26"/>
        </w:rPr>
        <w:t xml:space="preserve">UNITE DE GESTION </w:t>
      </w:r>
    </w:p>
    <w:p w14:paraId="34379B8B" w14:textId="77777777" w:rsidR="00EF2FDB" w:rsidRPr="00EF2FDB" w:rsidRDefault="00EF2FDB" w:rsidP="00EF2FDB">
      <w:pPr>
        <w:tabs>
          <w:tab w:val="left" w:pos="284"/>
        </w:tabs>
        <w:suppressAutoHyphens/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EF2FDB">
        <w:rPr>
          <w:rFonts w:ascii="Times New Roman" w:hAnsi="Times New Roman"/>
          <w:b/>
          <w:sz w:val="26"/>
          <w:szCs w:val="26"/>
        </w:rPr>
        <w:t xml:space="preserve">DU PROJET D’APPUI AU DEVELOPPEMENT </w:t>
      </w:r>
    </w:p>
    <w:p w14:paraId="54570401" w14:textId="77777777" w:rsidR="00EF2FDB" w:rsidRPr="00EF2FDB" w:rsidRDefault="00EF2FDB" w:rsidP="00EF2FDB">
      <w:pPr>
        <w:tabs>
          <w:tab w:val="left" w:pos="284"/>
        </w:tabs>
        <w:suppressAutoHyphens/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EF2FDB">
        <w:rPr>
          <w:rFonts w:ascii="Times New Roman" w:hAnsi="Times New Roman"/>
          <w:b/>
          <w:sz w:val="26"/>
          <w:szCs w:val="26"/>
        </w:rPr>
        <w:t>DU SECTEUR FINANCIER ET</w:t>
      </w:r>
      <w:r w:rsidR="004D7327">
        <w:rPr>
          <w:rFonts w:ascii="Times New Roman" w:hAnsi="Times New Roman"/>
          <w:b/>
          <w:sz w:val="26"/>
          <w:szCs w:val="26"/>
        </w:rPr>
        <w:t xml:space="preserve"> A L</w:t>
      </w:r>
      <w:r w:rsidRPr="00EF2FDB">
        <w:rPr>
          <w:rFonts w:ascii="Times New Roman" w:hAnsi="Times New Roman"/>
          <w:b/>
          <w:sz w:val="26"/>
          <w:szCs w:val="26"/>
        </w:rPr>
        <w:t>’INCLUSION FINANCIERE EN RDC</w:t>
      </w:r>
    </w:p>
    <w:p w14:paraId="29417268" w14:textId="77777777" w:rsidR="003A6351" w:rsidRDefault="00EF2FDB" w:rsidP="00EF2FDB">
      <w:pPr>
        <w:tabs>
          <w:tab w:val="left" w:pos="284"/>
        </w:tabs>
        <w:suppressAutoHyphens/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EF2FDB">
        <w:rPr>
          <w:rFonts w:ascii="Times New Roman" w:hAnsi="Times New Roman"/>
          <w:b/>
          <w:sz w:val="26"/>
          <w:szCs w:val="26"/>
        </w:rPr>
        <w:t>(PADSFI)</w:t>
      </w:r>
    </w:p>
    <w:p w14:paraId="4ECEC3AA" w14:textId="77777777" w:rsidR="00EF2FDB" w:rsidRPr="00E76848" w:rsidRDefault="00EF2FDB" w:rsidP="00EF2FDB">
      <w:pPr>
        <w:tabs>
          <w:tab w:val="left" w:pos="284"/>
        </w:tabs>
        <w:suppressAutoHyphens/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14:paraId="6D354053" w14:textId="77777777" w:rsidR="00EF2FDB" w:rsidRDefault="003A6351" w:rsidP="00CE7BAD">
      <w:pPr>
        <w:pStyle w:val="Style4"/>
        <w:numPr>
          <w:ilvl w:val="0"/>
          <w:numId w:val="0"/>
        </w:numPr>
        <w:ind w:left="567"/>
        <w:jc w:val="center"/>
        <w:rPr>
          <w:rFonts w:eastAsiaTheme="minorHAnsi"/>
          <w:sz w:val="26"/>
          <w:szCs w:val="26"/>
        </w:rPr>
      </w:pPr>
      <w:r w:rsidRPr="00E76848">
        <w:rPr>
          <w:rFonts w:eastAsiaTheme="minorHAnsi"/>
          <w:sz w:val="26"/>
          <w:szCs w:val="26"/>
        </w:rPr>
        <w:t xml:space="preserve">Recrutement d’un Consultant </w:t>
      </w:r>
      <w:r w:rsidR="007E60F0" w:rsidRPr="00E76848">
        <w:rPr>
          <w:rFonts w:eastAsiaTheme="minorHAnsi"/>
          <w:sz w:val="26"/>
          <w:szCs w:val="26"/>
        </w:rPr>
        <w:t>individuel</w:t>
      </w:r>
      <w:r w:rsidRPr="00E76848">
        <w:rPr>
          <w:rFonts w:eastAsiaTheme="minorHAnsi"/>
          <w:sz w:val="26"/>
          <w:szCs w:val="26"/>
        </w:rPr>
        <w:t xml:space="preserve"> </w:t>
      </w:r>
      <w:r w:rsidR="00EF2FDB">
        <w:rPr>
          <w:rFonts w:eastAsiaTheme="minorHAnsi"/>
          <w:sz w:val="26"/>
          <w:szCs w:val="26"/>
        </w:rPr>
        <w:t xml:space="preserve">assumant la fonction </w:t>
      </w:r>
    </w:p>
    <w:p w14:paraId="2EF19BC0" w14:textId="4812298D" w:rsidR="00EF2FDB" w:rsidRDefault="00EF2FDB" w:rsidP="00CE7BAD">
      <w:pPr>
        <w:pStyle w:val="Style4"/>
        <w:numPr>
          <w:ilvl w:val="0"/>
          <w:numId w:val="0"/>
        </w:numPr>
        <w:ind w:left="567"/>
        <w:jc w:val="center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>d</w:t>
      </w:r>
      <w:r w:rsidR="00876CAF">
        <w:rPr>
          <w:rFonts w:eastAsiaTheme="minorHAnsi"/>
          <w:sz w:val="26"/>
          <w:szCs w:val="26"/>
        </w:rPr>
        <w:t xml:space="preserve">'Expert </w:t>
      </w:r>
      <w:r>
        <w:rPr>
          <w:rFonts w:eastAsiaTheme="minorHAnsi"/>
          <w:sz w:val="26"/>
          <w:szCs w:val="26"/>
        </w:rPr>
        <w:t xml:space="preserve">en </w:t>
      </w:r>
      <w:r w:rsidR="000B5FCD">
        <w:rPr>
          <w:rFonts w:eastAsiaTheme="minorHAnsi"/>
          <w:sz w:val="26"/>
          <w:szCs w:val="26"/>
        </w:rPr>
        <w:t>Gestion Financière</w:t>
      </w:r>
      <w:r w:rsidR="00CE74DF">
        <w:rPr>
          <w:rFonts w:eastAsiaTheme="minorHAnsi"/>
          <w:sz w:val="26"/>
          <w:szCs w:val="26"/>
        </w:rPr>
        <w:t xml:space="preserve"> </w:t>
      </w:r>
      <w:r w:rsidR="00455520">
        <w:rPr>
          <w:rFonts w:eastAsiaTheme="minorHAnsi"/>
          <w:sz w:val="26"/>
          <w:szCs w:val="26"/>
        </w:rPr>
        <w:t xml:space="preserve"> </w:t>
      </w:r>
      <w:r>
        <w:rPr>
          <w:rFonts w:eastAsiaTheme="minorHAnsi"/>
          <w:sz w:val="26"/>
          <w:szCs w:val="26"/>
        </w:rPr>
        <w:t xml:space="preserve"> </w:t>
      </w:r>
    </w:p>
    <w:p w14:paraId="05F0E84D" w14:textId="77777777" w:rsidR="003A6351" w:rsidRPr="00E76848" w:rsidRDefault="003A6351" w:rsidP="00CE7BAD">
      <w:pPr>
        <w:tabs>
          <w:tab w:val="left" w:pos="284"/>
        </w:tabs>
        <w:suppressAutoHyphens/>
        <w:spacing w:after="0" w:line="240" w:lineRule="auto"/>
        <w:rPr>
          <w:rFonts w:ascii="Times New Roman" w:eastAsia="Times New Roman" w:hAnsi="Times New Roman"/>
          <w:b/>
          <w:sz w:val="26"/>
          <w:szCs w:val="26"/>
          <w:lang w:eastAsia="ar-SA"/>
        </w:rPr>
      </w:pPr>
    </w:p>
    <w:p w14:paraId="060C7365" w14:textId="77777777" w:rsidR="003A6351" w:rsidRPr="00E76848" w:rsidRDefault="003A6351" w:rsidP="00CE7BAD">
      <w:pPr>
        <w:spacing w:after="0" w:line="240" w:lineRule="auto"/>
        <w:rPr>
          <w:rFonts w:ascii="Times New Roman" w:hAnsi="Times New Roman"/>
          <w:spacing w:val="-2"/>
          <w:sz w:val="26"/>
          <w:szCs w:val="26"/>
        </w:rPr>
      </w:pPr>
      <w:r w:rsidRPr="00E76848">
        <w:rPr>
          <w:rFonts w:ascii="Times New Roman" w:hAnsi="Times New Roman"/>
          <w:spacing w:val="-2"/>
          <w:sz w:val="26"/>
          <w:szCs w:val="26"/>
        </w:rPr>
        <w:t>Secteur  </w:t>
      </w:r>
      <w:r w:rsidRPr="00E76848">
        <w:rPr>
          <w:rFonts w:ascii="Times New Roman" w:hAnsi="Times New Roman"/>
          <w:spacing w:val="-2"/>
          <w:sz w:val="26"/>
          <w:szCs w:val="26"/>
        </w:rPr>
        <w:tab/>
      </w:r>
      <w:r w:rsidRPr="00E76848">
        <w:rPr>
          <w:rFonts w:ascii="Times New Roman" w:hAnsi="Times New Roman"/>
          <w:spacing w:val="-2"/>
          <w:sz w:val="26"/>
          <w:szCs w:val="26"/>
        </w:rPr>
        <w:tab/>
      </w:r>
      <w:r w:rsidRPr="00E76848">
        <w:rPr>
          <w:rFonts w:ascii="Times New Roman" w:hAnsi="Times New Roman"/>
          <w:spacing w:val="-2"/>
          <w:sz w:val="26"/>
          <w:szCs w:val="26"/>
        </w:rPr>
        <w:tab/>
      </w:r>
      <w:r w:rsidRPr="00E76848">
        <w:rPr>
          <w:rFonts w:ascii="Times New Roman" w:hAnsi="Times New Roman"/>
          <w:spacing w:val="-2"/>
          <w:sz w:val="26"/>
          <w:szCs w:val="26"/>
        </w:rPr>
        <w:tab/>
      </w:r>
      <w:r w:rsidRPr="00E76848">
        <w:rPr>
          <w:rFonts w:ascii="Times New Roman" w:hAnsi="Times New Roman"/>
          <w:spacing w:val="-2"/>
          <w:sz w:val="26"/>
          <w:szCs w:val="26"/>
        </w:rPr>
        <w:tab/>
        <w:t>:</w:t>
      </w:r>
      <w:r w:rsidRPr="00E76848">
        <w:rPr>
          <w:rFonts w:ascii="Times New Roman" w:hAnsi="Times New Roman"/>
          <w:sz w:val="26"/>
          <w:szCs w:val="26"/>
          <w:lang w:eastAsia="fr-FR"/>
        </w:rPr>
        <w:t xml:space="preserve"> </w:t>
      </w:r>
      <w:r w:rsidRPr="00E76848">
        <w:rPr>
          <w:rFonts w:ascii="Times New Roman" w:hAnsi="Times New Roman"/>
          <w:sz w:val="26"/>
          <w:szCs w:val="26"/>
          <w:lang w:eastAsia="fr-FR"/>
        </w:rPr>
        <w:tab/>
      </w:r>
      <w:r w:rsidR="00EF2FDB">
        <w:rPr>
          <w:rFonts w:ascii="Times New Roman" w:hAnsi="Times New Roman"/>
          <w:sz w:val="26"/>
          <w:szCs w:val="26"/>
          <w:lang w:eastAsia="fr-FR"/>
        </w:rPr>
        <w:t xml:space="preserve">Finances </w:t>
      </w:r>
      <w:r w:rsidRPr="00E76848">
        <w:rPr>
          <w:rFonts w:ascii="Times New Roman" w:hAnsi="Times New Roman"/>
          <w:sz w:val="26"/>
          <w:szCs w:val="26"/>
          <w:lang w:eastAsia="fr-FR"/>
        </w:rPr>
        <w:t xml:space="preserve"> </w:t>
      </w:r>
    </w:p>
    <w:p w14:paraId="26B39D9E" w14:textId="77777777" w:rsidR="003A6351" w:rsidRPr="00E76848" w:rsidRDefault="003A6351" w:rsidP="00CE7BAD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E76848">
        <w:rPr>
          <w:rFonts w:ascii="Times New Roman" w:hAnsi="Times New Roman"/>
          <w:sz w:val="26"/>
          <w:szCs w:val="26"/>
        </w:rPr>
        <w:t>Référence de l’accord de financement</w:t>
      </w:r>
      <w:r w:rsidRPr="00E76848">
        <w:rPr>
          <w:rFonts w:ascii="Times New Roman" w:hAnsi="Times New Roman"/>
          <w:sz w:val="26"/>
          <w:szCs w:val="26"/>
        </w:rPr>
        <w:tab/>
        <w:t>:</w:t>
      </w:r>
      <w:r w:rsidRPr="00E76848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E76848">
        <w:rPr>
          <w:rFonts w:ascii="Times New Roman" w:hAnsi="Times New Roman"/>
          <w:color w:val="000000"/>
          <w:sz w:val="26"/>
          <w:szCs w:val="26"/>
        </w:rPr>
        <w:tab/>
        <w:t>Don</w:t>
      </w:r>
      <w:r w:rsidR="00EF2FDB" w:rsidRPr="00EF2FDB">
        <w:t xml:space="preserve"> </w:t>
      </w:r>
      <w:r w:rsidR="00EF2FDB" w:rsidRPr="00EF2FDB">
        <w:rPr>
          <w:rFonts w:ascii="Times New Roman" w:hAnsi="Times New Roman"/>
          <w:color w:val="000000"/>
          <w:sz w:val="26"/>
          <w:szCs w:val="26"/>
        </w:rPr>
        <w:t>FAD n° 2100155042170</w:t>
      </w:r>
    </w:p>
    <w:p w14:paraId="53B28B84" w14:textId="77777777" w:rsidR="003A6351" w:rsidRPr="00E76848" w:rsidRDefault="003A6351" w:rsidP="00CE7BAD">
      <w:pPr>
        <w:spacing w:after="0" w:line="240" w:lineRule="auto"/>
        <w:rPr>
          <w:rFonts w:ascii="Times New Roman" w:hAnsi="Times New Roman"/>
          <w:spacing w:val="-2"/>
          <w:sz w:val="26"/>
          <w:szCs w:val="26"/>
        </w:rPr>
      </w:pPr>
      <w:r w:rsidRPr="00E76848">
        <w:rPr>
          <w:rFonts w:ascii="Times New Roman" w:hAnsi="Times New Roman"/>
          <w:spacing w:val="-2"/>
          <w:sz w:val="26"/>
          <w:szCs w:val="26"/>
        </w:rPr>
        <w:t>N° de l’Avis</w:t>
      </w:r>
      <w:r w:rsidRPr="00E76848">
        <w:rPr>
          <w:rFonts w:ascii="Times New Roman" w:hAnsi="Times New Roman"/>
          <w:spacing w:val="-2"/>
          <w:sz w:val="26"/>
          <w:szCs w:val="26"/>
        </w:rPr>
        <w:tab/>
      </w:r>
      <w:r w:rsidRPr="00E76848">
        <w:rPr>
          <w:rFonts w:ascii="Times New Roman" w:hAnsi="Times New Roman"/>
          <w:spacing w:val="-2"/>
          <w:sz w:val="26"/>
          <w:szCs w:val="26"/>
        </w:rPr>
        <w:tab/>
      </w:r>
      <w:r w:rsidRPr="00E76848">
        <w:rPr>
          <w:rFonts w:ascii="Times New Roman" w:hAnsi="Times New Roman"/>
          <w:spacing w:val="-2"/>
          <w:sz w:val="26"/>
          <w:szCs w:val="26"/>
        </w:rPr>
        <w:tab/>
      </w:r>
      <w:r w:rsidRPr="00E76848">
        <w:rPr>
          <w:rFonts w:ascii="Times New Roman" w:hAnsi="Times New Roman"/>
          <w:spacing w:val="-2"/>
          <w:sz w:val="26"/>
          <w:szCs w:val="26"/>
        </w:rPr>
        <w:tab/>
      </w:r>
      <w:r w:rsidRPr="00E76848">
        <w:rPr>
          <w:rFonts w:ascii="Times New Roman" w:hAnsi="Times New Roman"/>
          <w:spacing w:val="-2"/>
          <w:sz w:val="26"/>
          <w:szCs w:val="26"/>
        </w:rPr>
        <w:tab/>
        <w:t xml:space="preserve">: </w:t>
      </w:r>
      <w:r w:rsidRPr="00E76848">
        <w:rPr>
          <w:rFonts w:ascii="Times New Roman" w:hAnsi="Times New Roman"/>
          <w:spacing w:val="-2"/>
          <w:sz w:val="26"/>
          <w:szCs w:val="26"/>
        </w:rPr>
        <w:tab/>
      </w:r>
      <w:bookmarkStart w:id="0" w:name="_Hlk151289324"/>
      <w:r w:rsidRPr="00E76848">
        <w:rPr>
          <w:rFonts w:ascii="Times New Roman" w:hAnsi="Times New Roman"/>
          <w:color w:val="000000"/>
          <w:spacing w:val="-2"/>
          <w:sz w:val="26"/>
          <w:szCs w:val="26"/>
        </w:rPr>
        <w:t>00</w:t>
      </w:r>
      <w:r w:rsidR="000B5FCD">
        <w:rPr>
          <w:rFonts w:ascii="Times New Roman" w:hAnsi="Times New Roman"/>
          <w:color w:val="000000"/>
          <w:spacing w:val="-2"/>
          <w:sz w:val="26"/>
          <w:szCs w:val="26"/>
        </w:rPr>
        <w:t>2</w:t>
      </w:r>
      <w:r w:rsidRPr="00E76848">
        <w:rPr>
          <w:rFonts w:ascii="Times New Roman" w:hAnsi="Times New Roman"/>
          <w:spacing w:val="-2"/>
          <w:sz w:val="26"/>
          <w:szCs w:val="26"/>
        </w:rPr>
        <w:t>/PA</w:t>
      </w:r>
      <w:r w:rsidR="00EF2FDB">
        <w:rPr>
          <w:rFonts w:ascii="Times New Roman" w:hAnsi="Times New Roman"/>
          <w:spacing w:val="-2"/>
          <w:sz w:val="26"/>
          <w:szCs w:val="26"/>
        </w:rPr>
        <w:t>DSFI</w:t>
      </w:r>
      <w:r w:rsidRPr="00E76848">
        <w:rPr>
          <w:rFonts w:ascii="Times New Roman" w:hAnsi="Times New Roman"/>
          <w:spacing w:val="-2"/>
          <w:sz w:val="26"/>
          <w:szCs w:val="26"/>
        </w:rPr>
        <w:t>/MIN.</w:t>
      </w:r>
      <w:r w:rsidR="00EF2FDB">
        <w:rPr>
          <w:rFonts w:ascii="Times New Roman" w:hAnsi="Times New Roman"/>
          <w:spacing w:val="-2"/>
          <w:sz w:val="26"/>
          <w:szCs w:val="26"/>
        </w:rPr>
        <w:t>FIN</w:t>
      </w:r>
      <w:r w:rsidRPr="00E76848">
        <w:rPr>
          <w:rFonts w:ascii="Times New Roman" w:hAnsi="Times New Roman"/>
          <w:spacing w:val="-2"/>
          <w:sz w:val="26"/>
          <w:szCs w:val="26"/>
        </w:rPr>
        <w:t>/U</w:t>
      </w:r>
      <w:r w:rsidR="00EF2FDB">
        <w:rPr>
          <w:rFonts w:ascii="Times New Roman" w:hAnsi="Times New Roman"/>
          <w:spacing w:val="-2"/>
          <w:sz w:val="26"/>
          <w:szCs w:val="26"/>
        </w:rPr>
        <w:t>GP</w:t>
      </w:r>
      <w:r w:rsidRPr="00E76848">
        <w:rPr>
          <w:rFonts w:ascii="Times New Roman" w:hAnsi="Times New Roman"/>
          <w:spacing w:val="-2"/>
          <w:sz w:val="26"/>
          <w:szCs w:val="26"/>
        </w:rPr>
        <w:t>/202</w:t>
      </w:r>
      <w:r w:rsidR="009C421E">
        <w:rPr>
          <w:rFonts w:ascii="Times New Roman" w:hAnsi="Times New Roman"/>
          <w:spacing w:val="-2"/>
          <w:sz w:val="26"/>
          <w:szCs w:val="26"/>
        </w:rPr>
        <w:t>4</w:t>
      </w:r>
      <w:r w:rsidRPr="00E76848">
        <w:rPr>
          <w:rFonts w:ascii="Times New Roman" w:hAnsi="Times New Roman"/>
          <w:spacing w:val="-2"/>
          <w:sz w:val="26"/>
          <w:szCs w:val="26"/>
        </w:rPr>
        <w:t>/SC</w:t>
      </w:r>
    </w:p>
    <w:bookmarkEnd w:id="0"/>
    <w:p w14:paraId="0CB3C6A9" w14:textId="59F680B2" w:rsidR="003A6351" w:rsidRDefault="003A6351" w:rsidP="00CE7BAD">
      <w:pPr>
        <w:spacing w:after="0" w:line="240" w:lineRule="auto"/>
        <w:rPr>
          <w:rFonts w:ascii="Times New Roman" w:hAnsi="Times New Roman"/>
          <w:spacing w:val="-2"/>
          <w:sz w:val="26"/>
          <w:szCs w:val="26"/>
        </w:rPr>
      </w:pPr>
      <w:r w:rsidRPr="00E76848">
        <w:rPr>
          <w:rFonts w:ascii="Times New Roman" w:hAnsi="Times New Roman"/>
          <w:spacing w:val="-2"/>
          <w:sz w:val="26"/>
          <w:szCs w:val="26"/>
        </w:rPr>
        <w:t>--------------------------------------------------------------------------------------</w:t>
      </w:r>
      <w:r w:rsidR="00164411" w:rsidRPr="00E76848">
        <w:rPr>
          <w:rFonts w:ascii="Times New Roman" w:hAnsi="Times New Roman"/>
          <w:spacing w:val="-2"/>
          <w:sz w:val="26"/>
          <w:szCs w:val="26"/>
        </w:rPr>
        <w:t>---</w:t>
      </w:r>
      <w:r w:rsidRPr="00E76848">
        <w:rPr>
          <w:rFonts w:ascii="Times New Roman" w:hAnsi="Times New Roman"/>
          <w:spacing w:val="-2"/>
          <w:sz w:val="26"/>
          <w:szCs w:val="26"/>
        </w:rPr>
        <w:t>------------------</w:t>
      </w:r>
    </w:p>
    <w:p w14:paraId="60B400A8" w14:textId="77777777" w:rsidR="004D38EE" w:rsidRPr="00E76848" w:rsidRDefault="004D38EE" w:rsidP="00CE7BAD">
      <w:pPr>
        <w:spacing w:after="0" w:line="240" w:lineRule="auto"/>
        <w:rPr>
          <w:rFonts w:ascii="Times New Roman" w:hAnsi="Times New Roman"/>
          <w:spacing w:val="-2"/>
          <w:sz w:val="26"/>
          <w:szCs w:val="26"/>
        </w:rPr>
      </w:pPr>
    </w:p>
    <w:p w14:paraId="1E6F6650" w14:textId="5C75596F" w:rsidR="004D38EE" w:rsidRDefault="003A6351" w:rsidP="00F02C63">
      <w:pPr>
        <w:pStyle w:val="ListParagraph"/>
        <w:numPr>
          <w:ilvl w:val="0"/>
          <w:numId w:val="17"/>
        </w:num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/>
          <w:spacing w:val="-2"/>
          <w:sz w:val="26"/>
          <w:szCs w:val="26"/>
        </w:rPr>
      </w:pPr>
      <w:r w:rsidRPr="004D38EE">
        <w:rPr>
          <w:rFonts w:ascii="Times New Roman" w:hAnsi="Times New Roman"/>
          <w:spacing w:val="-2"/>
          <w:sz w:val="26"/>
          <w:szCs w:val="26"/>
        </w:rPr>
        <w:t xml:space="preserve">Le Gouvernement de la </w:t>
      </w:r>
      <w:r w:rsidRPr="004D38EE">
        <w:rPr>
          <w:rFonts w:ascii="Times New Roman" w:hAnsi="Times New Roman"/>
          <w:sz w:val="26"/>
          <w:szCs w:val="26"/>
        </w:rPr>
        <w:t>République Démocratique du Congo (RDC)</w:t>
      </w:r>
      <w:r w:rsidRPr="004D38EE">
        <w:rPr>
          <w:rFonts w:ascii="Times New Roman" w:hAnsi="Times New Roman"/>
          <w:spacing w:val="-2"/>
          <w:sz w:val="26"/>
          <w:szCs w:val="26"/>
        </w:rPr>
        <w:t xml:space="preserve"> a reçu</w:t>
      </w:r>
      <w:r w:rsidRPr="004D38EE">
        <w:rPr>
          <w:rFonts w:ascii="Times New Roman" w:hAnsi="Times New Roman"/>
          <w:iCs/>
          <w:spacing w:val="-2"/>
          <w:sz w:val="26"/>
          <w:szCs w:val="26"/>
        </w:rPr>
        <w:t xml:space="preserve"> un financement du </w:t>
      </w:r>
      <w:r w:rsidRPr="004D38EE">
        <w:rPr>
          <w:rFonts w:ascii="Times New Roman" w:hAnsi="Times New Roman"/>
          <w:spacing w:val="-2"/>
          <w:sz w:val="26"/>
          <w:szCs w:val="26"/>
        </w:rPr>
        <w:t xml:space="preserve">Fonds Africain de Développement (FAD) afin de couvrir le coût du </w:t>
      </w:r>
      <w:r w:rsidRPr="004D38EE">
        <w:rPr>
          <w:rFonts w:ascii="Times New Roman" w:hAnsi="Times New Roman"/>
          <w:sz w:val="26"/>
          <w:szCs w:val="26"/>
        </w:rPr>
        <w:t xml:space="preserve">Projet d’Appui </w:t>
      </w:r>
      <w:r w:rsidR="00EF2FDB" w:rsidRPr="004D38EE">
        <w:rPr>
          <w:rFonts w:ascii="Times New Roman" w:hAnsi="Times New Roman"/>
          <w:sz w:val="26"/>
          <w:szCs w:val="26"/>
        </w:rPr>
        <w:t xml:space="preserve">au </w:t>
      </w:r>
      <w:r w:rsidR="00EF2FDB" w:rsidRPr="004D38EE">
        <w:rPr>
          <w:rFonts w:ascii="Times New Roman" w:hAnsi="Times New Roman"/>
          <w:spacing w:val="-2"/>
          <w:sz w:val="26"/>
          <w:szCs w:val="26"/>
        </w:rPr>
        <w:t xml:space="preserve">Développement du secteur financier et d’inclusion financière en RDC (PADSFI) </w:t>
      </w:r>
      <w:r w:rsidRPr="004D38EE">
        <w:rPr>
          <w:rFonts w:ascii="Times New Roman" w:hAnsi="Times New Roman"/>
          <w:spacing w:val="-2"/>
          <w:sz w:val="26"/>
          <w:szCs w:val="26"/>
        </w:rPr>
        <w:t xml:space="preserve">et a l’intention d’utiliser une partie des ressources accordées au titre de ce Don pour financer le contrat de </w:t>
      </w:r>
      <w:r w:rsidR="00F668C0" w:rsidRPr="004D38EE">
        <w:rPr>
          <w:rFonts w:ascii="Times New Roman" w:hAnsi="Times New Roman"/>
          <w:spacing w:val="-2"/>
          <w:sz w:val="26"/>
          <w:szCs w:val="26"/>
        </w:rPr>
        <w:t>Consultant individuel</w:t>
      </w:r>
      <w:r w:rsidR="00E612E9" w:rsidRPr="004D38EE">
        <w:rPr>
          <w:rFonts w:ascii="Times New Roman" w:hAnsi="Times New Roman"/>
          <w:spacing w:val="-2"/>
          <w:sz w:val="26"/>
          <w:szCs w:val="26"/>
        </w:rPr>
        <w:t xml:space="preserve">, </w:t>
      </w:r>
      <w:r w:rsidR="00E612E9" w:rsidRPr="004D38EE">
        <w:rPr>
          <w:rFonts w:ascii="Times New Roman" w:hAnsi="Times New Roman"/>
          <w:b/>
          <w:bCs/>
          <w:spacing w:val="-2"/>
          <w:sz w:val="26"/>
          <w:szCs w:val="26"/>
        </w:rPr>
        <w:t xml:space="preserve">Expert </w:t>
      </w:r>
      <w:r w:rsidR="00EF2FDB" w:rsidRPr="004D38EE">
        <w:rPr>
          <w:rFonts w:ascii="Times New Roman" w:hAnsi="Times New Roman"/>
          <w:b/>
          <w:bCs/>
          <w:spacing w:val="-2"/>
          <w:sz w:val="26"/>
          <w:szCs w:val="26"/>
        </w:rPr>
        <w:t xml:space="preserve">en </w:t>
      </w:r>
      <w:r w:rsidR="00E612E9" w:rsidRPr="004D38EE">
        <w:rPr>
          <w:rFonts w:ascii="Times New Roman" w:hAnsi="Times New Roman"/>
          <w:b/>
          <w:bCs/>
          <w:spacing w:val="-2"/>
          <w:sz w:val="26"/>
          <w:szCs w:val="26"/>
        </w:rPr>
        <w:t>G</w:t>
      </w:r>
      <w:r w:rsidR="004D7327" w:rsidRPr="004D38EE">
        <w:rPr>
          <w:rFonts w:ascii="Times New Roman" w:hAnsi="Times New Roman"/>
          <w:b/>
          <w:bCs/>
          <w:spacing w:val="-2"/>
          <w:sz w:val="26"/>
          <w:szCs w:val="26"/>
        </w:rPr>
        <w:t xml:space="preserve">estion </w:t>
      </w:r>
      <w:r w:rsidR="00E612E9" w:rsidRPr="004D38EE">
        <w:rPr>
          <w:rFonts w:ascii="Times New Roman" w:hAnsi="Times New Roman"/>
          <w:b/>
          <w:bCs/>
          <w:spacing w:val="-2"/>
          <w:sz w:val="26"/>
          <w:szCs w:val="26"/>
        </w:rPr>
        <w:t>F</w:t>
      </w:r>
      <w:r w:rsidR="004D7327" w:rsidRPr="004D38EE">
        <w:rPr>
          <w:rFonts w:ascii="Times New Roman" w:hAnsi="Times New Roman"/>
          <w:b/>
          <w:bCs/>
          <w:spacing w:val="-2"/>
          <w:sz w:val="26"/>
          <w:szCs w:val="26"/>
        </w:rPr>
        <w:t>inancière</w:t>
      </w:r>
      <w:r w:rsidR="00E612E9" w:rsidRPr="004D38EE">
        <w:rPr>
          <w:rFonts w:ascii="Times New Roman" w:hAnsi="Times New Roman"/>
          <w:b/>
          <w:bCs/>
          <w:spacing w:val="-2"/>
          <w:sz w:val="26"/>
          <w:szCs w:val="26"/>
        </w:rPr>
        <w:t xml:space="preserve"> (EGF) au sein de l’Unité de </w:t>
      </w:r>
      <w:r w:rsidR="00876CAF" w:rsidRPr="004D38EE">
        <w:rPr>
          <w:rFonts w:ascii="Times New Roman" w:hAnsi="Times New Roman"/>
          <w:b/>
          <w:bCs/>
          <w:spacing w:val="-2"/>
          <w:sz w:val="26"/>
          <w:szCs w:val="26"/>
        </w:rPr>
        <w:t xml:space="preserve">Gestion </w:t>
      </w:r>
      <w:r w:rsidR="00653E21">
        <w:rPr>
          <w:rFonts w:ascii="Times New Roman" w:hAnsi="Times New Roman"/>
          <w:b/>
          <w:bCs/>
          <w:spacing w:val="-2"/>
          <w:sz w:val="26"/>
          <w:szCs w:val="26"/>
        </w:rPr>
        <w:t>du P</w:t>
      </w:r>
      <w:r w:rsidR="00E612E9" w:rsidRPr="004D38EE">
        <w:rPr>
          <w:rFonts w:ascii="Times New Roman" w:hAnsi="Times New Roman"/>
          <w:b/>
          <w:bCs/>
          <w:spacing w:val="-2"/>
          <w:sz w:val="26"/>
          <w:szCs w:val="26"/>
        </w:rPr>
        <w:t>rojet</w:t>
      </w:r>
      <w:r w:rsidR="00EF2FDB" w:rsidRPr="004D38EE">
        <w:rPr>
          <w:rFonts w:ascii="Times New Roman" w:hAnsi="Times New Roman"/>
          <w:b/>
          <w:bCs/>
          <w:spacing w:val="-2"/>
          <w:sz w:val="26"/>
          <w:szCs w:val="26"/>
        </w:rPr>
        <w:t>.</w:t>
      </w:r>
      <w:r w:rsidR="00EF2FDB" w:rsidRPr="004D38EE">
        <w:rPr>
          <w:rFonts w:ascii="Times New Roman" w:hAnsi="Times New Roman"/>
          <w:spacing w:val="-2"/>
          <w:sz w:val="26"/>
          <w:szCs w:val="26"/>
        </w:rPr>
        <w:t xml:space="preserve"> </w:t>
      </w:r>
    </w:p>
    <w:p w14:paraId="116957AD" w14:textId="77777777" w:rsidR="004D38EE" w:rsidRDefault="004D38EE" w:rsidP="004D38EE">
      <w:pPr>
        <w:pStyle w:val="ListParagraph"/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/>
          <w:spacing w:val="-2"/>
          <w:sz w:val="26"/>
          <w:szCs w:val="26"/>
        </w:rPr>
      </w:pPr>
    </w:p>
    <w:p w14:paraId="19687DDD" w14:textId="3D667626" w:rsidR="004D38EE" w:rsidRPr="00D57964" w:rsidRDefault="00D4005A" w:rsidP="00C72979">
      <w:pPr>
        <w:numPr>
          <w:ilvl w:val="0"/>
          <w:numId w:val="17"/>
        </w:numPr>
        <w:spacing w:before="40" w:after="0" w:line="240" w:lineRule="auto"/>
        <w:jc w:val="both"/>
        <w:rPr>
          <w:rFonts w:ascii="Times New Roman" w:hAnsi="Times New Roman"/>
          <w:spacing w:val="-2"/>
          <w:sz w:val="26"/>
          <w:szCs w:val="26"/>
        </w:rPr>
      </w:pPr>
      <w:r w:rsidRPr="00D57964">
        <w:rPr>
          <w:rFonts w:ascii="Times New Roman" w:hAnsi="Times New Roman"/>
          <w:sz w:val="26"/>
          <w:szCs w:val="26"/>
        </w:rPr>
        <w:t>L</w:t>
      </w:r>
      <w:r w:rsidR="00EF2FDB" w:rsidRPr="00D57964">
        <w:rPr>
          <w:rFonts w:ascii="Times New Roman" w:hAnsi="Times New Roman"/>
          <w:sz w:val="26"/>
          <w:szCs w:val="26"/>
        </w:rPr>
        <w:t xml:space="preserve">es services prévus au titre de ce contrat comprennent essentiellement: </w:t>
      </w:r>
      <w:r w:rsidR="009D70B0" w:rsidRPr="00D57964">
        <w:rPr>
          <w:rFonts w:ascii="Times New Roman" w:hAnsi="Times New Roman"/>
          <w:sz w:val="26"/>
          <w:szCs w:val="26"/>
        </w:rPr>
        <w:t xml:space="preserve">(i) </w:t>
      </w:r>
      <w:r w:rsidR="00E612E9" w:rsidRPr="00D57964">
        <w:rPr>
          <w:rFonts w:ascii="Times New Roman" w:hAnsi="Times New Roman"/>
          <w:sz w:val="26"/>
          <w:szCs w:val="26"/>
        </w:rPr>
        <w:t>l’</w:t>
      </w:r>
      <w:r w:rsidR="009D70B0" w:rsidRPr="00D57964">
        <w:rPr>
          <w:rFonts w:ascii="Times New Roman" w:hAnsi="Times New Roman"/>
          <w:sz w:val="26"/>
          <w:szCs w:val="26"/>
        </w:rPr>
        <w:t>appui à l’</w:t>
      </w:r>
      <w:r w:rsidR="00621098" w:rsidRPr="00D57964">
        <w:rPr>
          <w:rFonts w:ascii="Times New Roman" w:hAnsi="Times New Roman"/>
          <w:sz w:val="26"/>
          <w:szCs w:val="26"/>
        </w:rPr>
        <w:t>élaboration des PTBA</w:t>
      </w:r>
      <w:r w:rsidR="009D70B0" w:rsidRPr="00D57964">
        <w:rPr>
          <w:rFonts w:ascii="Times New Roman" w:hAnsi="Times New Roman"/>
          <w:sz w:val="26"/>
          <w:szCs w:val="26"/>
        </w:rPr>
        <w:t xml:space="preserve"> ; (ii) </w:t>
      </w:r>
      <w:r w:rsidR="00E612E9" w:rsidRPr="00D57964">
        <w:rPr>
          <w:rFonts w:ascii="Times New Roman" w:hAnsi="Times New Roman"/>
          <w:sz w:val="26"/>
          <w:szCs w:val="26"/>
        </w:rPr>
        <w:t xml:space="preserve">la </w:t>
      </w:r>
      <w:r w:rsidR="009D70B0" w:rsidRPr="00D57964">
        <w:rPr>
          <w:rFonts w:ascii="Times New Roman" w:hAnsi="Times New Roman"/>
          <w:sz w:val="26"/>
          <w:szCs w:val="26"/>
        </w:rPr>
        <w:t>préparation des</w:t>
      </w:r>
      <w:r w:rsidR="00621098" w:rsidRPr="00D57964">
        <w:rPr>
          <w:rFonts w:ascii="Times New Roman" w:hAnsi="Times New Roman"/>
          <w:sz w:val="26"/>
          <w:szCs w:val="26"/>
        </w:rPr>
        <w:t xml:space="preserve"> plans de trésorerie et de décaissement</w:t>
      </w:r>
      <w:r w:rsidR="009D70B0" w:rsidRPr="00D57964">
        <w:rPr>
          <w:rFonts w:ascii="Times New Roman" w:hAnsi="Times New Roman"/>
          <w:sz w:val="26"/>
          <w:szCs w:val="26"/>
        </w:rPr>
        <w:t xml:space="preserve"> ;  (iii) </w:t>
      </w:r>
      <w:r w:rsidR="00E612E9" w:rsidRPr="00D57964">
        <w:rPr>
          <w:rFonts w:ascii="Times New Roman" w:hAnsi="Times New Roman"/>
          <w:sz w:val="26"/>
          <w:szCs w:val="26"/>
        </w:rPr>
        <w:t xml:space="preserve">le </w:t>
      </w:r>
      <w:r w:rsidR="00290A68" w:rsidRPr="00D57964">
        <w:rPr>
          <w:rFonts w:ascii="Times New Roman" w:hAnsi="Times New Roman"/>
          <w:sz w:val="26"/>
          <w:szCs w:val="26"/>
        </w:rPr>
        <w:t xml:space="preserve">suivi </w:t>
      </w:r>
      <w:r w:rsidR="00621098" w:rsidRPr="00D57964">
        <w:rPr>
          <w:rFonts w:ascii="Times New Roman" w:hAnsi="Times New Roman"/>
          <w:sz w:val="26"/>
          <w:szCs w:val="26"/>
        </w:rPr>
        <w:t xml:space="preserve">et </w:t>
      </w:r>
      <w:r w:rsidR="00E612E9" w:rsidRPr="00D57964">
        <w:rPr>
          <w:rFonts w:ascii="Times New Roman" w:hAnsi="Times New Roman"/>
          <w:sz w:val="26"/>
          <w:szCs w:val="26"/>
        </w:rPr>
        <w:t xml:space="preserve">la </w:t>
      </w:r>
      <w:r w:rsidR="00621098" w:rsidRPr="00D57964">
        <w:rPr>
          <w:rFonts w:ascii="Times New Roman" w:hAnsi="Times New Roman"/>
          <w:sz w:val="26"/>
          <w:szCs w:val="26"/>
        </w:rPr>
        <w:t>mise en œuvre des outils de gestion comptable et financière</w:t>
      </w:r>
      <w:r w:rsidR="009D70B0" w:rsidRPr="00D57964">
        <w:rPr>
          <w:rFonts w:ascii="Times New Roman" w:hAnsi="Times New Roman"/>
          <w:sz w:val="26"/>
          <w:szCs w:val="26"/>
        </w:rPr>
        <w:t xml:space="preserve"> ; (iv) </w:t>
      </w:r>
      <w:r w:rsidR="00E612E9" w:rsidRPr="00D57964">
        <w:rPr>
          <w:rFonts w:ascii="Times New Roman" w:hAnsi="Times New Roman"/>
          <w:sz w:val="26"/>
          <w:szCs w:val="26"/>
        </w:rPr>
        <w:t>l’</w:t>
      </w:r>
      <w:r w:rsidR="009D70B0" w:rsidRPr="00D57964">
        <w:rPr>
          <w:rFonts w:ascii="Times New Roman" w:hAnsi="Times New Roman"/>
          <w:sz w:val="26"/>
          <w:szCs w:val="26"/>
        </w:rPr>
        <w:t xml:space="preserve">appui et </w:t>
      </w:r>
      <w:r w:rsidR="00E612E9" w:rsidRPr="00D57964">
        <w:rPr>
          <w:rFonts w:ascii="Times New Roman" w:hAnsi="Times New Roman"/>
          <w:sz w:val="26"/>
          <w:szCs w:val="26"/>
        </w:rPr>
        <w:t xml:space="preserve">le </w:t>
      </w:r>
      <w:r w:rsidR="009D70B0" w:rsidRPr="00D57964">
        <w:rPr>
          <w:rFonts w:ascii="Times New Roman" w:hAnsi="Times New Roman"/>
          <w:sz w:val="26"/>
          <w:szCs w:val="26"/>
        </w:rPr>
        <w:t xml:space="preserve">suivi de </w:t>
      </w:r>
      <w:r w:rsidR="00290A68" w:rsidRPr="00D57964">
        <w:rPr>
          <w:rFonts w:ascii="Times New Roman" w:hAnsi="Times New Roman"/>
          <w:sz w:val="26"/>
          <w:szCs w:val="26"/>
        </w:rPr>
        <w:t xml:space="preserve">la gestion </w:t>
      </w:r>
      <w:r w:rsidR="00E612E9" w:rsidRPr="00D57964">
        <w:rPr>
          <w:rFonts w:ascii="Times New Roman" w:hAnsi="Times New Roman"/>
          <w:sz w:val="26"/>
          <w:szCs w:val="26"/>
        </w:rPr>
        <w:t>des</w:t>
      </w:r>
      <w:r w:rsidR="00621098" w:rsidRPr="00D57964">
        <w:rPr>
          <w:rFonts w:ascii="Times New Roman" w:hAnsi="Times New Roman"/>
          <w:sz w:val="26"/>
          <w:szCs w:val="26"/>
        </w:rPr>
        <w:t xml:space="preserve"> fonds obtenus des bailleurs conformément aux procédures de ces derniers</w:t>
      </w:r>
      <w:r w:rsidR="00F02C63" w:rsidRPr="00D57964">
        <w:rPr>
          <w:rFonts w:ascii="Times New Roman" w:hAnsi="Times New Roman"/>
          <w:sz w:val="26"/>
          <w:szCs w:val="26"/>
        </w:rPr>
        <w:t> ; (v) la s</w:t>
      </w:r>
      <w:r w:rsidR="00621098" w:rsidRPr="00D57964">
        <w:rPr>
          <w:rFonts w:ascii="Times New Roman" w:hAnsi="Times New Roman"/>
          <w:sz w:val="26"/>
          <w:szCs w:val="26"/>
        </w:rPr>
        <w:t>upervis</w:t>
      </w:r>
      <w:r w:rsidR="00F02C63" w:rsidRPr="00D57964">
        <w:rPr>
          <w:rFonts w:ascii="Times New Roman" w:hAnsi="Times New Roman"/>
          <w:sz w:val="26"/>
          <w:szCs w:val="26"/>
        </w:rPr>
        <w:t xml:space="preserve">ion de </w:t>
      </w:r>
      <w:r w:rsidR="00621098" w:rsidRPr="00D57964">
        <w:rPr>
          <w:rFonts w:ascii="Times New Roman" w:hAnsi="Times New Roman"/>
          <w:sz w:val="26"/>
          <w:szCs w:val="26"/>
        </w:rPr>
        <w:t xml:space="preserve">la tenue de la comptabilité des opérations </w:t>
      </w:r>
      <w:r w:rsidR="00F02C63" w:rsidRPr="00D57964">
        <w:rPr>
          <w:rFonts w:ascii="Times New Roman" w:hAnsi="Times New Roman"/>
          <w:sz w:val="26"/>
          <w:szCs w:val="26"/>
        </w:rPr>
        <w:t xml:space="preserve">du </w:t>
      </w:r>
      <w:r w:rsidR="00621098" w:rsidRPr="00D57964">
        <w:rPr>
          <w:rFonts w:ascii="Times New Roman" w:hAnsi="Times New Roman"/>
          <w:sz w:val="26"/>
          <w:szCs w:val="26"/>
        </w:rPr>
        <w:t>projet</w:t>
      </w:r>
      <w:r w:rsidR="00F02C63" w:rsidRPr="00D57964">
        <w:rPr>
          <w:rFonts w:ascii="Times New Roman" w:hAnsi="Times New Roman"/>
          <w:sz w:val="26"/>
          <w:szCs w:val="26"/>
        </w:rPr>
        <w:t> ; (vi) l</w:t>
      </w:r>
      <w:r w:rsidR="00621098" w:rsidRPr="00D57964">
        <w:rPr>
          <w:rFonts w:ascii="Times New Roman" w:hAnsi="Times New Roman"/>
          <w:sz w:val="26"/>
          <w:szCs w:val="26"/>
        </w:rPr>
        <w:t>e suivi de la mise en paiement des factures des contractants ou des consultants sur les fonds des bailleurs</w:t>
      </w:r>
      <w:r w:rsidR="00F02C63" w:rsidRPr="00D57964">
        <w:rPr>
          <w:rFonts w:ascii="Times New Roman" w:hAnsi="Times New Roman"/>
          <w:sz w:val="26"/>
          <w:szCs w:val="26"/>
        </w:rPr>
        <w:t xml:space="preserve">; (vii) la constitution et </w:t>
      </w:r>
      <w:r w:rsidR="00621098" w:rsidRPr="00D57964">
        <w:rPr>
          <w:rFonts w:ascii="Times New Roman" w:hAnsi="Times New Roman"/>
          <w:sz w:val="26"/>
          <w:szCs w:val="26"/>
        </w:rPr>
        <w:t>sécuris</w:t>
      </w:r>
      <w:r w:rsidR="00F02C63" w:rsidRPr="00D57964">
        <w:rPr>
          <w:rFonts w:ascii="Times New Roman" w:hAnsi="Times New Roman"/>
          <w:sz w:val="26"/>
          <w:szCs w:val="26"/>
        </w:rPr>
        <w:t xml:space="preserve">ation des </w:t>
      </w:r>
      <w:r w:rsidR="00621098" w:rsidRPr="00D57964">
        <w:rPr>
          <w:rFonts w:ascii="Times New Roman" w:hAnsi="Times New Roman"/>
          <w:sz w:val="26"/>
          <w:szCs w:val="26"/>
        </w:rPr>
        <w:t>archives comptables;</w:t>
      </w:r>
      <w:r w:rsidR="00F02C63" w:rsidRPr="00D57964">
        <w:rPr>
          <w:rFonts w:ascii="Times New Roman" w:hAnsi="Times New Roman"/>
          <w:sz w:val="26"/>
          <w:szCs w:val="26"/>
        </w:rPr>
        <w:t xml:space="preserve"> (viii) la facilitation d</w:t>
      </w:r>
      <w:r w:rsidR="00621098" w:rsidRPr="00D57964">
        <w:rPr>
          <w:rFonts w:ascii="Times New Roman" w:hAnsi="Times New Roman"/>
          <w:sz w:val="26"/>
          <w:szCs w:val="26"/>
        </w:rPr>
        <w:t xml:space="preserve">es missions d’audit financier ou de revue financière diligentée </w:t>
      </w:r>
      <w:r w:rsidR="00F02C63" w:rsidRPr="00D57964">
        <w:rPr>
          <w:rFonts w:ascii="Times New Roman" w:hAnsi="Times New Roman"/>
          <w:sz w:val="26"/>
          <w:szCs w:val="26"/>
        </w:rPr>
        <w:t xml:space="preserve">aussi bien par les bailleurs de fonds que par les institutions étatiques de contrôles externes ou des cabinets d’audit ; (ix) la participation </w:t>
      </w:r>
      <w:r w:rsidR="00621098" w:rsidRPr="00D57964">
        <w:rPr>
          <w:rFonts w:ascii="Times New Roman" w:hAnsi="Times New Roman"/>
          <w:sz w:val="26"/>
          <w:szCs w:val="26"/>
        </w:rPr>
        <w:t xml:space="preserve">aux </w:t>
      </w:r>
      <w:r w:rsidR="00F02C63" w:rsidRPr="00D57964">
        <w:rPr>
          <w:rFonts w:ascii="Times New Roman" w:hAnsi="Times New Roman"/>
          <w:sz w:val="26"/>
          <w:szCs w:val="26"/>
        </w:rPr>
        <w:t xml:space="preserve">activités </w:t>
      </w:r>
      <w:r w:rsidR="00621098" w:rsidRPr="00D57964">
        <w:rPr>
          <w:rFonts w:ascii="Times New Roman" w:hAnsi="Times New Roman"/>
          <w:sz w:val="26"/>
          <w:szCs w:val="26"/>
        </w:rPr>
        <w:t>de clôture d</w:t>
      </w:r>
      <w:r w:rsidR="00F02C63" w:rsidRPr="00D57964">
        <w:rPr>
          <w:rFonts w:ascii="Times New Roman" w:hAnsi="Times New Roman"/>
          <w:sz w:val="26"/>
          <w:szCs w:val="26"/>
        </w:rPr>
        <w:t>u projet</w:t>
      </w:r>
      <w:r w:rsidR="00D63499" w:rsidRPr="00D57964">
        <w:rPr>
          <w:rFonts w:ascii="Times New Roman" w:hAnsi="Times New Roman"/>
          <w:sz w:val="26"/>
          <w:szCs w:val="26"/>
        </w:rPr>
        <w:t>, (x) renforcer les capacités du personnel financier de l’agence d’exécution en matière de gestion financière, (xi) assister l’agence d’exécution dans la prise de décision en matière de gestion financière du projet</w:t>
      </w:r>
      <w:r w:rsidR="00D57964" w:rsidRPr="00D57964">
        <w:rPr>
          <w:rFonts w:ascii="Times New Roman" w:hAnsi="Times New Roman"/>
          <w:sz w:val="26"/>
          <w:szCs w:val="26"/>
        </w:rPr>
        <w:t>, (xii) l’appui à la rédaction du manuel des procédures</w:t>
      </w:r>
      <w:r w:rsidR="00D63499" w:rsidRPr="00D57964">
        <w:rPr>
          <w:rFonts w:ascii="Times New Roman" w:hAnsi="Times New Roman"/>
          <w:sz w:val="26"/>
          <w:szCs w:val="26"/>
        </w:rPr>
        <w:t>.</w:t>
      </w:r>
      <w:r w:rsidR="00D63499" w:rsidRPr="00D57964">
        <w:rPr>
          <w:color w:val="000000"/>
        </w:rPr>
        <w:t xml:space="preserve"> </w:t>
      </w:r>
      <w:r w:rsidR="00F02C63" w:rsidRPr="00D57964">
        <w:rPr>
          <w:rFonts w:ascii="Times New Roman" w:hAnsi="Times New Roman"/>
          <w:sz w:val="26"/>
          <w:szCs w:val="26"/>
        </w:rPr>
        <w:t xml:space="preserve">La Mission se déroulera principalement à Kinshasa, ou en cas de besoin, à l’intérieur du pays. </w:t>
      </w:r>
      <w:r w:rsidR="00DD36BE">
        <w:rPr>
          <w:rFonts w:ascii="Times New Roman" w:hAnsi="Times New Roman"/>
          <w:sz w:val="26"/>
          <w:szCs w:val="26"/>
        </w:rPr>
        <w:t>Le c</w:t>
      </w:r>
      <w:r w:rsidR="00653E21" w:rsidRPr="00D57964">
        <w:rPr>
          <w:rFonts w:ascii="Times New Roman" w:hAnsi="Times New Roman"/>
          <w:sz w:val="26"/>
          <w:szCs w:val="26"/>
        </w:rPr>
        <w:t>ontrat</w:t>
      </w:r>
      <w:r w:rsidR="009E08CD" w:rsidRPr="00D57964">
        <w:rPr>
          <w:rFonts w:ascii="Times New Roman" w:hAnsi="Times New Roman"/>
          <w:sz w:val="26"/>
          <w:szCs w:val="26"/>
        </w:rPr>
        <w:t xml:space="preserve"> est prévu pour une durée de </w:t>
      </w:r>
      <w:r w:rsidR="00F02C63" w:rsidRPr="00D57964">
        <w:rPr>
          <w:rFonts w:ascii="Times New Roman" w:hAnsi="Times New Roman"/>
          <w:sz w:val="26"/>
          <w:szCs w:val="26"/>
        </w:rPr>
        <w:t>douze (</w:t>
      </w:r>
      <w:r w:rsidR="009E08CD" w:rsidRPr="00D57964">
        <w:rPr>
          <w:rFonts w:ascii="Times New Roman" w:hAnsi="Times New Roman"/>
          <w:sz w:val="26"/>
          <w:szCs w:val="26"/>
        </w:rPr>
        <w:t>12</w:t>
      </w:r>
      <w:r w:rsidR="00F02C63" w:rsidRPr="00D57964">
        <w:rPr>
          <w:rFonts w:ascii="Times New Roman" w:hAnsi="Times New Roman"/>
          <w:sz w:val="26"/>
          <w:szCs w:val="26"/>
        </w:rPr>
        <w:t>)</w:t>
      </w:r>
      <w:r w:rsidR="009E08CD" w:rsidRPr="00D57964">
        <w:rPr>
          <w:rFonts w:ascii="Times New Roman" w:hAnsi="Times New Roman"/>
          <w:sz w:val="26"/>
          <w:szCs w:val="26"/>
        </w:rPr>
        <w:t xml:space="preserve"> mois renouvelable, sous réserve de la performance jugée satisfaisante</w:t>
      </w:r>
      <w:r w:rsidR="00F02C63" w:rsidRPr="00D57964">
        <w:rPr>
          <w:rFonts w:ascii="Times New Roman" w:hAnsi="Times New Roman"/>
          <w:sz w:val="26"/>
          <w:szCs w:val="26"/>
        </w:rPr>
        <w:t>.</w:t>
      </w:r>
      <w:r w:rsidR="009E08CD" w:rsidRPr="00D57964">
        <w:rPr>
          <w:rFonts w:ascii="Times New Roman" w:hAnsi="Times New Roman"/>
          <w:sz w:val="26"/>
          <w:szCs w:val="26"/>
        </w:rPr>
        <w:t xml:space="preserve"> </w:t>
      </w:r>
    </w:p>
    <w:p w14:paraId="2C6A37D8" w14:textId="77777777" w:rsidR="004D38EE" w:rsidRPr="004D38EE" w:rsidRDefault="004D38EE" w:rsidP="004D38EE">
      <w:pPr>
        <w:pStyle w:val="ListParagraph"/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/>
          <w:spacing w:val="-2"/>
          <w:sz w:val="26"/>
          <w:szCs w:val="26"/>
        </w:rPr>
      </w:pPr>
    </w:p>
    <w:p w14:paraId="37BB35C8" w14:textId="1D753609" w:rsidR="004D38EE" w:rsidRDefault="003A6351" w:rsidP="004D38EE">
      <w:pPr>
        <w:pStyle w:val="ListParagraph"/>
        <w:numPr>
          <w:ilvl w:val="0"/>
          <w:numId w:val="17"/>
        </w:num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/>
          <w:spacing w:val="-2"/>
          <w:sz w:val="26"/>
          <w:szCs w:val="26"/>
        </w:rPr>
      </w:pPr>
      <w:r w:rsidRPr="004D38EE">
        <w:rPr>
          <w:rFonts w:ascii="Times New Roman" w:hAnsi="Times New Roman"/>
          <w:spacing w:val="-2"/>
          <w:sz w:val="26"/>
          <w:szCs w:val="26"/>
        </w:rPr>
        <w:t>L’Unité de</w:t>
      </w:r>
      <w:r w:rsidR="003E7F13" w:rsidRPr="004D38EE">
        <w:rPr>
          <w:rFonts w:ascii="Times New Roman" w:hAnsi="Times New Roman"/>
          <w:spacing w:val="-2"/>
          <w:sz w:val="26"/>
          <w:szCs w:val="26"/>
        </w:rPr>
        <w:t xml:space="preserve"> Gestion du Projet</w:t>
      </w:r>
      <w:r w:rsidRPr="004D38EE">
        <w:rPr>
          <w:rFonts w:ascii="Times New Roman" w:hAnsi="Times New Roman"/>
          <w:spacing w:val="-2"/>
          <w:sz w:val="26"/>
          <w:szCs w:val="26"/>
        </w:rPr>
        <w:t xml:space="preserve"> </w:t>
      </w:r>
      <w:r w:rsidR="00C209E9" w:rsidRPr="004D38EE">
        <w:rPr>
          <w:rFonts w:ascii="Times New Roman" w:hAnsi="Times New Roman"/>
          <w:spacing w:val="-2"/>
          <w:sz w:val="26"/>
          <w:szCs w:val="26"/>
        </w:rPr>
        <w:t>PADSFI</w:t>
      </w:r>
      <w:r w:rsidR="00F02C63" w:rsidRPr="004D38EE">
        <w:rPr>
          <w:rFonts w:ascii="Times New Roman" w:hAnsi="Times New Roman"/>
          <w:spacing w:val="-2"/>
          <w:sz w:val="26"/>
          <w:szCs w:val="26"/>
        </w:rPr>
        <w:t>, ci-après dénommée « l’Organe d’Exécution »</w:t>
      </w:r>
      <w:r w:rsidRPr="004D38EE">
        <w:rPr>
          <w:rFonts w:ascii="Times New Roman" w:hAnsi="Times New Roman"/>
          <w:spacing w:val="-2"/>
          <w:sz w:val="26"/>
          <w:szCs w:val="26"/>
        </w:rPr>
        <w:t xml:space="preserve"> invite les consultants </w:t>
      </w:r>
      <w:r w:rsidR="006D320B" w:rsidRPr="004D38EE">
        <w:rPr>
          <w:rFonts w:ascii="Times New Roman" w:hAnsi="Times New Roman"/>
          <w:spacing w:val="-2"/>
          <w:sz w:val="26"/>
          <w:szCs w:val="26"/>
        </w:rPr>
        <w:t>individuels</w:t>
      </w:r>
      <w:r w:rsidRPr="004D38EE">
        <w:rPr>
          <w:rFonts w:ascii="Times New Roman" w:hAnsi="Times New Roman"/>
          <w:spacing w:val="-2"/>
          <w:sz w:val="26"/>
          <w:szCs w:val="26"/>
        </w:rPr>
        <w:t xml:space="preserve"> à présenter leur candidature en vue de fournir les services décrits ci-dessus. Les consultants intéressés doivent </w:t>
      </w:r>
      <w:r w:rsidR="004D67EC" w:rsidRPr="004D38EE">
        <w:rPr>
          <w:rFonts w:ascii="Times New Roman" w:hAnsi="Times New Roman"/>
          <w:spacing w:val="-2"/>
          <w:sz w:val="26"/>
          <w:szCs w:val="26"/>
        </w:rPr>
        <w:t xml:space="preserve">produire </w:t>
      </w:r>
      <w:r w:rsidRPr="004D38EE">
        <w:rPr>
          <w:rFonts w:ascii="Times New Roman" w:hAnsi="Times New Roman"/>
          <w:spacing w:val="-2"/>
          <w:sz w:val="26"/>
          <w:szCs w:val="26"/>
        </w:rPr>
        <w:t xml:space="preserve">les informations sur leurs capacités et expériences démontrant qu’ils sont qualifiés pour les prestations </w:t>
      </w:r>
      <w:r w:rsidRPr="004D38EE">
        <w:rPr>
          <w:rFonts w:ascii="Times New Roman" w:hAnsi="Times New Roman"/>
          <w:spacing w:val="-2"/>
          <w:sz w:val="26"/>
          <w:szCs w:val="26"/>
        </w:rPr>
        <w:lastRenderedPageBreak/>
        <w:t>(lettre de motivation</w:t>
      </w:r>
      <w:r w:rsidR="009E08CD" w:rsidRPr="004D38EE">
        <w:rPr>
          <w:rFonts w:ascii="Times New Roman" w:hAnsi="Times New Roman"/>
          <w:spacing w:val="-2"/>
          <w:sz w:val="26"/>
          <w:szCs w:val="26"/>
        </w:rPr>
        <w:t xml:space="preserve"> ne dépassant pas deux </w:t>
      </w:r>
      <w:r w:rsidR="00F02C63" w:rsidRPr="004D38EE">
        <w:rPr>
          <w:rFonts w:ascii="Times New Roman" w:hAnsi="Times New Roman"/>
          <w:spacing w:val="-2"/>
          <w:sz w:val="26"/>
          <w:szCs w:val="26"/>
        </w:rPr>
        <w:t xml:space="preserve">pages ; </w:t>
      </w:r>
      <w:r w:rsidR="009E08CD" w:rsidRPr="004D38EE">
        <w:rPr>
          <w:rFonts w:ascii="Times New Roman" w:hAnsi="Times New Roman"/>
          <w:spacing w:val="-2"/>
          <w:sz w:val="26"/>
          <w:szCs w:val="26"/>
        </w:rPr>
        <w:t>CV à jour</w:t>
      </w:r>
      <w:r w:rsidR="00290A68" w:rsidRPr="004D38EE">
        <w:rPr>
          <w:rFonts w:ascii="Times New Roman" w:hAnsi="Times New Roman"/>
          <w:spacing w:val="-2"/>
          <w:sz w:val="26"/>
          <w:szCs w:val="26"/>
        </w:rPr>
        <w:t xml:space="preserve"> et </w:t>
      </w:r>
      <w:r w:rsidR="00F02C63" w:rsidRPr="004D38EE">
        <w:rPr>
          <w:rFonts w:ascii="Times New Roman" w:hAnsi="Times New Roman"/>
          <w:spacing w:val="-2"/>
          <w:sz w:val="26"/>
          <w:szCs w:val="26"/>
        </w:rPr>
        <w:t>signé, mettant</w:t>
      </w:r>
      <w:r w:rsidR="00290A68" w:rsidRPr="004D38EE">
        <w:rPr>
          <w:rFonts w:ascii="Times New Roman" w:hAnsi="Times New Roman"/>
          <w:spacing w:val="-2"/>
          <w:sz w:val="26"/>
          <w:szCs w:val="26"/>
        </w:rPr>
        <w:t xml:space="preserve"> en exergue les </w:t>
      </w:r>
      <w:r w:rsidRPr="004D38EE">
        <w:rPr>
          <w:rFonts w:ascii="Times New Roman" w:hAnsi="Times New Roman"/>
          <w:spacing w:val="-2"/>
          <w:sz w:val="26"/>
          <w:szCs w:val="26"/>
        </w:rPr>
        <w:t>référence</w:t>
      </w:r>
      <w:r w:rsidR="00F02C63" w:rsidRPr="004D38EE">
        <w:rPr>
          <w:rFonts w:ascii="Times New Roman" w:hAnsi="Times New Roman"/>
          <w:spacing w:val="-2"/>
          <w:sz w:val="26"/>
          <w:szCs w:val="26"/>
        </w:rPr>
        <w:t>s</w:t>
      </w:r>
      <w:r w:rsidRPr="004D38EE">
        <w:rPr>
          <w:rFonts w:ascii="Times New Roman" w:hAnsi="Times New Roman"/>
          <w:spacing w:val="-2"/>
          <w:sz w:val="26"/>
          <w:szCs w:val="26"/>
        </w:rPr>
        <w:t xml:space="preserve"> de prestations similaires</w:t>
      </w:r>
      <w:r w:rsidR="00290A68" w:rsidRPr="004D38EE">
        <w:rPr>
          <w:rFonts w:ascii="Times New Roman" w:hAnsi="Times New Roman"/>
          <w:spacing w:val="-2"/>
          <w:sz w:val="26"/>
          <w:szCs w:val="26"/>
        </w:rPr>
        <w:t xml:space="preserve"> et </w:t>
      </w:r>
      <w:r w:rsidRPr="004D38EE">
        <w:rPr>
          <w:rFonts w:ascii="Times New Roman" w:hAnsi="Times New Roman"/>
          <w:spacing w:val="-2"/>
          <w:sz w:val="26"/>
          <w:szCs w:val="26"/>
        </w:rPr>
        <w:t>expérience dans des missions comparabl</w:t>
      </w:r>
      <w:r w:rsidR="006D320B" w:rsidRPr="004D38EE">
        <w:rPr>
          <w:rFonts w:ascii="Times New Roman" w:hAnsi="Times New Roman"/>
          <w:spacing w:val="-2"/>
          <w:sz w:val="26"/>
          <w:szCs w:val="26"/>
        </w:rPr>
        <w:t>es</w:t>
      </w:r>
      <w:r w:rsidRPr="004D38EE">
        <w:rPr>
          <w:rFonts w:ascii="Times New Roman" w:hAnsi="Times New Roman"/>
          <w:spacing w:val="-2"/>
          <w:sz w:val="26"/>
          <w:szCs w:val="26"/>
        </w:rPr>
        <w:t xml:space="preserve">, </w:t>
      </w:r>
      <w:r w:rsidR="00290A68" w:rsidRPr="004D38EE">
        <w:rPr>
          <w:rFonts w:ascii="Times New Roman" w:hAnsi="Times New Roman"/>
          <w:spacing w:val="-2"/>
          <w:sz w:val="26"/>
          <w:szCs w:val="26"/>
        </w:rPr>
        <w:t>copies des diplômes et attestations en rapport avec les formations exigées</w:t>
      </w:r>
      <w:r w:rsidRPr="004D38EE">
        <w:rPr>
          <w:rFonts w:ascii="Times New Roman" w:hAnsi="Times New Roman"/>
          <w:spacing w:val="-2"/>
          <w:sz w:val="26"/>
          <w:szCs w:val="26"/>
        </w:rPr>
        <w:t>.).</w:t>
      </w:r>
    </w:p>
    <w:p w14:paraId="34A6C6C5" w14:textId="77777777" w:rsidR="004D38EE" w:rsidRDefault="004D38EE" w:rsidP="004D38EE">
      <w:pPr>
        <w:pStyle w:val="ListParagraph"/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/>
          <w:spacing w:val="-2"/>
          <w:sz w:val="26"/>
          <w:szCs w:val="26"/>
        </w:rPr>
      </w:pPr>
    </w:p>
    <w:p w14:paraId="7557DEE6" w14:textId="1C1D2C00" w:rsidR="004D38EE" w:rsidRPr="004D38EE" w:rsidRDefault="003A6351" w:rsidP="004D38EE">
      <w:pPr>
        <w:pStyle w:val="ListParagraph"/>
        <w:numPr>
          <w:ilvl w:val="0"/>
          <w:numId w:val="17"/>
        </w:num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/>
          <w:spacing w:val="-2"/>
          <w:sz w:val="26"/>
          <w:szCs w:val="26"/>
        </w:rPr>
      </w:pPr>
      <w:r w:rsidRPr="004D38EE">
        <w:rPr>
          <w:rFonts w:ascii="Times New Roman" w:hAnsi="Times New Roman"/>
          <w:spacing w:val="-2"/>
          <w:sz w:val="26"/>
          <w:szCs w:val="26"/>
        </w:rPr>
        <w:t>Les critères d’éligibilité, l’établissement de la liste restreinte et la procédure de sélection seront conformes à la «</w:t>
      </w:r>
      <w:r w:rsidR="004D67EC" w:rsidRPr="004D38EE">
        <w:rPr>
          <w:rFonts w:ascii="Times New Roman" w:hAnsi="Times New Roman"/>
          <w:spacing w:val="-2"/>
          <w:sz w:val="26"/>
          <w:szCs w:val="26"/>
        </w:rPr>
        <w:t xml:space="preserve"> </w:t>
      </w:r>
      <w:r w:rsidRPr="004D38EE">
        <w:rPr>
          <w:rFonts w:ascii="Times New Roman" w:hAnsi="Times New Roman"/>
          <w:spacing w:val="-2"/>
          <w:sz w:val="26"/>
          <w:szCs w:val="26"/>
        </w:rPr>
        <w:t>Politique de passation des marchés des opérations financées par le Groupe de la Banque</w:t>
      </w:r>
      <w:r w:rsidR="004D67EC" w:rsidRPr="004D38EE">
        <w:rPr>
          <w:rFonts w:ascii="Times New Roman" w:hAnsi="Times New Roman"/>
          <w:spacing w:val="-2"/>
          <w:sz w:val="26"/>
          <w:szCs w:val="26"/>
        </w:rPr>
        <w:t xml:space="preserve"> </w:t>
      </w:r>
      <w:r w:rsidRPr="004D38EE">
        <w:rPr>
          <w:rFonts w:ascii="Times New Roman" w:hAnsi="Times New Roman"/>
          <w:spacing w:val="-2"/>
          <w:sz w:val="26"/>
          <w:szCs w:val="26"/>
        </w:rPr>
        <w:t xml:space="preserve">» </w:t>
      </w:r>
      <w:r w:rsidR="004D67EC" w:rsidRPr="004D38EE">
        <w:rPr>
          <w:rFonts w:ascii="Times New Roman" w:hAnsi="Times New Roman"/>
          <w:spacing w:val="-2"/>
          <w:sz w:val="26"/>
          <w:szCs w:val="26"/>
        </w:rPr>
        <w:t xml:space="preserve">éditée </w:t>
      </w:r>
      <w:r w:rsidRPr="004D38EE">
        <w:rPr>
          <w:rFonts w:ascii="Times New Roman" w:hAnsi="Times New Roman"/>
          <w:spacing w:val="-2"/>
          <w:sz w:val="26"/>
          <w:szCs w:val="26"/>
        </w:rPr>
        <w:t>en date du 14 octobre</w:t>
      </w:r>
      <w:r w:rsidR="004D67EC" w:rsidRPr="004D38EE">
        <w:rPr>
          <w:rFonts w:ascii="Times New Roman" w:hAnsi="Times New Roman"/>
          <w:spacing w:val="-2"/>
          <w:sz w:val="26"/>
          <w:szCs w:val="26"/>
        </w:rPr>
        <w:t xml:space="preserve"> </w:t>
      </w:r>
      <w:r w:rsidRPr="004D38EE">
        <w:rPr>
          <w:rFonts w:ascii="Times New Roman" w:hAnsi="Times New Roman"/>
          <w:spacing w:val="-2"/>
          <w:sz w:val="26"/>
          <w:szCs w:val="26"/>
        </w:rPr>
        <w:t xml:space="preserve">2015, qui est disponible sur le site web de la Banque à l’adresse : </w:t>
      </w:r>
      <w:hyperlink r:id="rId7" w:history="1">
        <w:r w:rsidR="00EA09BE" w:rsidRPr="004D38EE">
          <w:rPr>
            <w:rStyle w:val="Hyperlink"/>
            <w:rFonts w:ascii="Times New Roman" w:hAnsi="Times New Roman"/>
            <w:spacing w:val="-2"/>
            <w:sz w:val="26"/>
            <w:szCs w:val="26"/>
          </w:rPr>
          <w:t>http://www.afdb.org</w:t>
        </w:r>
      </w:hyperlink>
      <w:r w:rsidR="00EA09BE" w:rsidRPr="004D38EE">
        <w:rPr>
          <w:rFonts w:ascii="Times New Roman" w:hAnsi="Times New Roman"/>
          <w:spacing w:val="-2"/>
          <w:sz w:val="26"/>
          <w:szCs w:val="26"/>
        </w:rPr>
        <w:t>.</w:t>
      </w:r>
      <w:r w:rsidR="007C14DF" w:rsidRPr="004D38EE">
        <w:rPr>
          <w:rFonts w:ascii="Times New Roman" w:hAnsi="Times New Roman"/>
          <w:spacing w:val="-2"/>
          <w:sz w:val="26"/>
          <w:szCs w:val="26"/>
        </w:rPr>
        <w:t xml:space="preserve"> </w:t>
      </w:r>
      <w:r w:rsidR="007C14DF" w:rsidRPr="004D38EE">
        <w:rPr>
          <w:rFonts w:ascii="Times New Roman" w:hAnsi="Times New Roman"/>
          <w:b/>
          <w:bCs/>
          <w:i/>
          <w:iCs/>
          <w:spacing w:val="-2"/>
          <w:sz w:val="26"/>
          <w:szCs w:val="26"/>
        </w:rPr>
        <w:t>Il est à noter que l’intérêt manifesté par un Consultant n’implique aucune obligation de la part du Client de l’inclure dans la liste restreinte.</w:t>
      </w:r>
      <w:r w:rsidRPr="004D38EE">
        <w:rPr>
          <w:rFonts w:ascii="Times New Roman" w:hAnsi="Times New Roman"/>
          <w:b/>
          <w:bCs/>
          <w:i/>
          <w:iCs/>
          <w:spacing w:val="-2"/>
          <w:sz w:val="26"/>
          <w:szCs w:val="26"/>
        </w:rPr>
        <w:t xml:space="preserve"> </w:t>
      </w:r>
    </w:p>
    <w:p w14:paraId="262DB3C0" w14:textId="77777777" w:rsidR="004D38EE" w:rsidRPr="004D38EE" w:rsidRDefault="004D38EE" w:rsidP="004D38EE">
      <w:pPr>
        <w:pStyle w:val="ListParagraph"/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/>
          <w:spacing w:val="-2"/>
          <w:sz w:val="26"/>
          <w:szCs w:val="26"/>
        </w:rPr>
      </w:pPr>
    </w:p>
    <w:p w14:paraId="226CF5A1" w14:textId="16A5E53C" w:rsidR="00A311AA" w:rsidRPr="004D38EE" w:rsidRDefault="00A311AA" w:rsidP="004D38EE">
      <w:pPr>
        <w:pStyle w:val="ListParagraph"/>
        <w:numPr>
          <w:ilvl w:val="0"/>
          <w:numId w:val="17"/>
        </w:num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/>
          <w:spacing w:val="-2"/>
          <w:sz w:val="26"/>
          <w:szCs w:val="26"/>
        </w:rPr>
      </w:pPr>
      <w:r w:rsidRPr="004D38EE">
        <w:rPr>
          <w:rFonts w:ascii="Times New Roman" w:hAnsi="Times New Roman"/>
          <w:spacing w:val="-2"/>
          <w:sz w:val="26"/>
          <w:szCs w:val="26"/>
        </w:rPr>
        <w:t>Les consultants seront évalués sur la base de leurs dossiers de candidatures, suivant les critères et barème de notation ci-après :</w:t>
      </w:r>
    </w:p>
    <w:p w14:paraId="021E5F63" w14:textId="623E1AE6" w:rsidR="00462DB7" w:rsidRDefault="00462DB7" w:rsidP="00462DB7">
      <w:pPr>
        <w:tabs>
          <w:tab w:val="left" w:pos="142"/>
        </w:tabs>
        <w:spacing w:after="0" w:line="240" w:lineRule="auto"/>
        <w:jc w:val="both"/>
        <w:rPr>
          <w:rFonts w:ascii="Times New Roman" w:hAnsi="Times New Roman"/>
          <w:spacing w:val="-2"/>
          <w:sz w:val="26"/>
          <w:szCs w:val="26"/>
        </w:rPr>
      </w:pPr>
    </w:p>
    <w:tbl>
      <w:tblPr>
        <w:tblW w:w="10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8789"/>
        <w:gridCol w:w="845"/>
      </w:tblGrid>
      <w:tr w:rsidR="005B1D60" w:rsidRPr="00245511" w14:paraId="115B14D0" w14:textId="77777777" w:rsidTr="007E6A3E">
        <w:trPr>
          <w:jc w:val="center"/>
        </w:trPr>
        <w:tc>
          <w:tcPr>
            <w:tcW w:w="562" w:type="dxa"/>
            <w:shd w:val="clear" w:color="auto" w:fill="auto"/>
          </w:tcPr>
          <w:p w14:paraId="6820AA7F" w14:textId="77777777" w:rsidR="00462DB7" w:rsidRPr="00245511" w:rsidRDefault="00462DB7" w:rsidP="00267CEB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bookmarkStart w:id="1" w:name="_Hlk101773083"/>
            <w:r w:rsidRPr="00245511">
              <w:rPr>
                <w:rFonts w:ascii="Book Antiqua" w:hAnsi="Book Antiqua"/>
                <w:b/>
                <w:sz w:val="20"/>
                <w:szCs w:val="20"/>
              </w:rPr>
              <w:t>N°</w:t>
            </w:r>
          </w:p>
        </w:tc>
        <w:tc>
          <w:tcPr>
            <w:tcW w:w="8789" w:type="dxa"/>
            <w:shd w:val="clear" w:color="auto" w:fill="auto"/>
          </w:tcPr>
          <w:p w14:paraId="4839B13D" w14:textId="77777777" w:rsidR="00462DB7" w:rsidRPr="00245511" w:rsidRDefault="00462DB7" w:rsidP="00267CEB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sz w:val="20"/>
                <w:szCs w:val="20"/>
              </w:rPr>
              <w:t>Désignation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68514899" w14:textId="77777777" w:rsidR="00462DB7" w:rsidRPr="00245511" w:rsidRDefault="00462DB7" w:rsidP="00267CEB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sz w:val="20"/>
                <w:szCs w:val="20"/>
              </w:rPr>
              <w:t>Notes</w:t>
            </w:r>
          </w:p>
        </w:tc>
      </w:tr>
      <w:tr w:rsidR="005B1D60" w:rsidRPr="00245511" w14:paraId="10EA0700" w14:textId="77777777" w:rsidTr="007E6A3E">
        <w:trPr>
          <w:jc w:val="center"/>
        </w:trPr>
        <w:tc>
          <w:tcPr>
            <w:tcW w:w="562" w:type="dxa"/>
            <w:shd w:val="clear" w:color="auto" w:fill="auto"/>
          </w:tcPr>
          <w:p w14:paraId="6E3A335F" w14:textId="77777777" w:rsidR="00462DB7" w:rsidRPr="00245511" w:rsidRDefault="00462DB7" w:rsidP="00267CEB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sz w:val="20"/>
                <w:szCs w:val="20"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49D1AC1D" w14:textId="77777777" w:rsidR="00462DB7" w:rsidRPr="00245511" w:rsidRDefault="00462DB7" w:rsidP="00267CEB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sz w:val="20"/>
                <w:szCs w:val="20"/>
              </w:rPr>
              <w:t>Formation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0BC49DE5" w14:textId="1ECF5710" w:rsidR="00462DB7" w:rsidRPr="00245511" w:rsidRDefault="00462DB7" w:rsidP="00267CEB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sz w:val="20"/>
                <w:szCs w:val="20"/>
              </w:rPr>
              <w:t>3</w:t>
            </w:r>
            <w:r w:rsidR="00B462BD">
              <w:rPr>
                <w:rFonts w:ascii="Book Antiqua" w:hAnsi="Book Antiqua"/>
                <w:b/>
                <w:sz w:val="20"/>
                <w:szCs w:val="20"/>
              </w:rPr>
              <w:t>5</w:t>
            </w:r>
          </w:p>
        </w:tc>
      </w:tr>
      <w:tr w:rsidR="005B1D60" w:rsidRPr="00245511" w14:paraId="6A830712" w14:textId="77777777" w:rsidTr="007E6A3E">
        <w:trPr>
          <w:jc w:val="center"/>
        </w:trPr>
        <w:tc>
          <w:tcPr>
            <w:tcW w:w="562" w:type="dxa"/>
            <w:shd w:val="clear" w:color="auto" w:fill="auto"/>
          </w:tcPr>
          <w:p w14:paraId="07D56C64" w14:textId="21ABDEC5" w:rsidR="00462DB7" w:rsidRPr="00245511" w:rsidRDefault="00462DB7" w:rsidP="00267CEB">
            <w:pPr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t>1.1</w:t>
            </w:r>
          </w:p>
          <w:p w14:paraId="23A819FD" w14:textId="77777777" w:rsidR="00245511" w:rsidRPr="00245511" w:rsidRDefault="00245511" w:rsidP="00267CEB">
            <w:pPr>
              <w:rPr>
                <w:rFonts w:ascii="Book Antiqua" w:hAnsi="Book Antiqua"/>
                <w:sz w:val="20"/>
                <w:szCs w:val="20"/>
              </w:rPr>
            </w:pPr>
          </w:p>
          <w:p w14:paraId="11698034" w14:textId="05DCEF4F" w:rsidR="00462DB7" w:rsidRPr="00245511" w:rsidRDefault="00462DB7" w:rsidP="00267CEB">
            <w:pPr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t>1.2</w:t>
            </w:r>
          </w:p>
          <w:p w14:paraId="1767F348" w14:textId="77777777" w:rsidR="00462DB7" w:rsidRPr="00245511" w:rsidRDefault="00462DB7" w:rsidP="00267CEB">
            <w:pPr>
              <w:rPr>
                <w:rFonts w:ascii="Book Antiqua" w:hAnsi="Book Antiqua"/>
                <w:sz w:val="20"/>
                <w:szCs w:val="20"/>
              </w:rPr>
            </w:pPr>
          </w:p>
          <w:p w14:paraId="09ECC0F7" w14:textId="77777777" w:rsidR="00462DB7" w:rsidRPr="00245511" w:rsidRDefault="00462DB7" w:rsidP="00267CEB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auto"/>
          </w:tcPr>
          <w:p w14:paraId="71B2D6F0" w14:textId="1D6716E9" w:rsidR="00462DB7" w:rsidRPr="00A428B6" w:rsidRDefault="00462DB7" w:rsidP="00462DB7">
            <w:pPr>
              <w:pStyle w:val="ListParagraph"/>
              <w:numPr>
                <w:ilvl w:val="0"/>
                <w:numId w:val="16"/>
              </w:numPr>
              <w:ind w:left="173" w:hanging="173"/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t xml:space="preserve">Diplômes universitaires : minimum (BAC+5) en </w:t>
            </w:r>
            <w:r w:rsidR="00A428B6" w:rsidRPr="00A428B6">
              <w:rPr>
                <w:rFonts w:ascii="Book Antiqua" w:hAnsi="Book Antiqua"/>
                <w:sz w:val="20"/>
                <w:szCs w:val="20"/>
              </w:rPr>
              <w:t xml:space="preserve">Gestion financière, Comptabilité, audit et contrôle </w:t>
            </w:r>
            <w:r w:rsidR="00A428B6">
              <w:rPr>
                <w:rFonts w:ascii="Book Antiqua" w:hAnsi="Book Antiqua"/>
                <w:sz w:val="20"/>
                <w:szCs w:val="20"/>
              </w:rPr>
              <w:t>ou tout diplôme équivalent</w:t>
            </w:r>
          </w:p>
          <w:p w14:paraId="095648D5" w14:textId="4C85A6C8" w:rsidR="00462DB7" w:rsidRPr="00245511" w:rsidRDefault="00462DB7" w:rsidP="00462DB7">
            <w:pPr>
              <w:pStyle w:val="ListParagraph"/>
              <w:numPr>
                <w:ilvl w:val="0"/>
                <w:numId w:val="16"/>
              </w:numPr>
              <w:ind w:left="173" w:hanging="173"/>
              <w:rPr>
                <w:rFonts w:ascii="Book Antiqua" w:hAnsi="Book Antiqua" w:cs="Calibri"/>
                <w:sz w:val="20"/>
                <w:szCs w:val="20"/>
              </w:rPr>
            </w:pPr>
            <w:r w:rsidRPr="00245511">
              <w:rPr>
                <w:rFonts w:ascii="Book Antiqua" w:hAnsi="Book Antiqua" w:cs="Calibri"/>
                <w:sz w:val="20"/>
                <w:szCs w:val="20"/>
              </w:rPr>
              <w:t xml:space="preserve">Absence de diplôme, diplôme non conforme ou de niveau inférieur : </w:t>
            </w:r>
            <w:r w:rsidRPr="007E6A3E">
              <w:rPr>
                <w:rFonts w:ascii="Book Antiqua" w:hAnsi="Book Antiqua" w:cs="Calibri"/>
                <w:b/>
                <w:sz w:val="20"/>
                <w:szCs w:val="20"/>
                <w:u w:val="single"/>
              </w:rPr>
              <w:t>dis</w:t>
            </w:r>
            <w:r w:rsidRPr="00245511">
              <w:rPr>
                <w:rFonts w:ascii="Book Antiqua" w:hAnsi="Book Antiqua" w:cs="Calibri"/>
                <w:b/>
                <w:sz w:val="20"/>
                <w:szCs w:val="20"/>
                <w:u w:val="single"/>
              </w:rPr>
              <w:t>qualifié</w:t>
            </w:r>
          </w:p>
          <w:p w14:paraId="34E71480" w14:textId="645043AF" w:rsidR="00462DB7" w:rsidRPr="00245511" w:rsidRDefault="00462DB7" w:rsidP="00267CEB">
            <w:pPr>
              <w:rPr>
                <w:rFonts w:ascii="Book Antiqua" w:hAnsi="Book Antiqua"/>
                <w:i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t xml:space="preserve">Formations professionnelles </w:t>
            </w:r>
            <w:r w:rsidR="00DD36BE">
              <w:rPr>
                <w:rFonts w:ascii="Book Antiqua" w:hAnsi="Book Antiqua"/>
                <w:sz w:val="20"/>
                <w:szCs w:val="20"/>
              </w:rPr>
              <w:t xml:space="preserve">complémentaires </w:t>
            </w:r>
            <w:r w:rsidRPr="00245511">
              <w:rPr>
                <w:rFonts w:ascii="Book Antiqua" w:hAnsi="Book Antiqua"/>
                <w:sz w:val="20"/>
                <w:szCs w:val="20"/>
              </w:rPr>
              <w:t>sur la gestion financière, la comptabilité, les normes</w:t>
            </w:r>
            <w:r w:rsidR="001C0641">
              <w:rPr>
                <w:rFonts w:ascii="Book Antiqua" w:hAnsi="Book Antiqua"/>
                <w:sz w:val="20"/>
                <w:szCs w:val="20"/>
              </w:rPr>
              <w:t xml:space="preserve"> comptables/Audit</w:t>
            </w:r>
            <w:r w:rsidRPr="00245511">
              <w:rPr>
                <w:rFonts w:ascii="Book Antiqua" w:hAnsi="Book Antiqua"/>
                <w:sz w:val="20"/>
                <w:szCs w:val="20"/>
              </w:rPr>
              <w:t xml:space="preserve">, les procédures de </w:t>
            </w:r>
            <w:r w:rsidR="001C0641">
              <w:rPr>
                <w:rFonts w:ascii="Book Antiqua" w:hAnsi="Book Antiqua"/>
                <w:sz w:val="20"/>
                <w:szCs w:val="20"/>
              </w:rPr>
              <w:t xml:space="preserve">gestion financière et </w:t>
            </w:r>
            <w:r w:rsidRPr="00245511">
              <w:rPr>
                <w:rFonts w:ascii="Book Antiqua" w:hAnsi="Book Antiqua"/>
                <w:sz w:val="20"/>
                <w:szCs w:val="20"/>
              </w:rPr>
              <w:t>décaissement</w:t>
            </w:r>
            <w:r w:rsidR="001C0641">
              <w:rPr>
                <w:rFonts w:ascii="Book Antiqua" w:hAnsi="Book Antiqua"/>
                <w:sz w:val="20"/>
                <w:szCs w:val="20"/>
              </w:rPr>
              <w:t xml:space="preserve"> des bailleurs,</w:t>
            </w:r>
            <w:r w:rsidRPr="00245511">
              <w:rPr>
                <w:rFonts w:ascii="Book Antiqua" w:hAnsi="Book Antiqua"/>
                <w:sz w:val="20"/>
                <w:szCs w:val="20"/>
              </w:rPr>
              <w:t xml:space="preserve"> et des textes en vigueur prévus dans le cadre de la gestion financière </w:t>
            </w:r>
            <w:r w:rsidR="001C0641">
              <w:rPr>
                <w:rFonts w:ascii="Book Antiqua" w:hAnsi="Book Antiqua"/>
                <w:sz w:val="20"/>
                <w:szCs w:val="20"/>
              </w:rPr>
              <w:t xml:space="preserve">des projets </w:t>
            </w:r>
            <w:r w:rsidRPr="00245511">
              <w:rPr>
                <w:rFonts w:ascii="Book Antiqua" w:hAnsi="Book Antiqua"/>
                <w:sz w:val="20"/>
                <w:szCs w:val="20"/>
              </w:rPr>
              <w:t>au titre de l’OHADA</w:t>
            </w:r>
            <w:r w:rsidR="005B1D60" w:rsidRPr="00245511">
              <w:rPr>
                <w:rFonts w:ascii="Book Antiqua" w:hAnsi="Book Antiqua"/>
                <w:sz w:val="20"/>
                <w:szCs w:val="20"/>
              </w:rPr>
              <w:t>, en comptabilité informatisée, gestion de la trésorerie, rapportage, gestion financière des projets  etc. :</w:t>
            </w:r>
            <w:r w:rsidRPr="00245511">
              <w:rPr>
                <w:rFonts w:ascii="Book Antiqua" w:hAnsi="Book Antiqua"/>
                <w:sz w:val="20"/>
                <w:szCs w:val="20"/>
              </w:rPr>
              <w:t xml:space="preserve"> 1</w:t>
            </w:r>
            <w:r w:rsidRPr="00245511">
              <w:rPr>
                <w:rFonts w:ascii="Book Antiqua" w:hAnsi="Book Antiqua"/>
                <w:i/>
                <w:sz w:val="20"/>
                <w:szCs w:val="20"/>
              </w:rPr>
              <w:t xml:space="preserve"> point par formation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200A3377" w14:textId="134BD0B0" w:rsidR="00462DB7" w:rsidRPr="00245511" w:rsidRDefault="007E6A3E" w:rsidP="00267CEB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</w:t>
            </w:r>
            <w:r w:rsidR="00B462BD">
              <w:rPr>
                <w:rFonts w:ascii="Book Antiqua" w:hAnsi="Book Antiqua"/>
                <w:sz w:val="20"/>
                <w:szCs w:val="20"/>
              </w:rPr>
              <w:t>5</w:t>
            </w:r>
          </w:p>
          <w:p w14:paraId="66B0CBD0" w14:textId="77777777" w:rsidR="00245511" w:rsidRPr="00245511" w:rsidRDefault="00245511" w:rsidP="00267CEB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  <w:p w14:paraId="2C77C09C" w14:textId="01424EF2" w:rsidR="00462DB7" w:rsidRPr="00245511" w:rsidRDefault="007E6A3E" w:rsidP="00267CEB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</w:t>
            </w:r>
            <w:r w:rsidR="00462DB7" w:rsidRPr="00245511">
              <w:rPr>
                <w:rFonts w:ascii="Book Antiqua" w:hAnsi="Book Antiqua"/>
                <w:sz w:val="20"/>
                <w:szCs w:val="20"/>
              </w:rPr>
              <w:t>0</w:t>
            </w:r>
          </w:p>
          <w:p w14:paraId="0924F977" w14:textId="77777777" w:rsidR="00462DB7" w:rsidRPr="00245511" w:rsidRDefault="00462DB7" w:rsidP="00267CEB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1D60" w:rsidRPr="00245511" w14:paraId="0F026B98" w14:textId="77777777" w:rsidTr="007E6A3E">
        <w:trPr>
          <w:jc w:val="center"/>
        </w:trPr>
        <w:tc>
          <w:tcPr>
            <w:tcW w:w="562" w:type="dxa"/>
            <w:shd w:val="clear" w:color="auto" w:fill="auto"/>
          </w:tcPr>
          <w:p w14:paraId="3FB32A43" w14:textId="77777777" w:rsidR="00462DB7" w:rsidRPr="00245511" w:rsidRDefault="00462DB7" w:rsidP="00267CEB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sz w:val="20"/>
                <w:szCs w:val="20"/>
              </w:rPr>
              <w:t>2</w:t>
            </w:r>
          </w:p>
        </w:tc>
        <w:tc>
          <w:tcPr>
            <w:tcW w:w="8789" w:type="dxa"/>
            <w:shd w:val="clear" w:color="auto" w:fill="auto"/>
          </w:tcPr>
          <w:p w14:paraId="57691552" w14:textId="77777777" w:rsidR="00462DB7" w:rsidRPr="00245511" w:rsidRDefault="00462DB7" w:rsidP="00267CEB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sz w:val="20"/>
                <w:szCs w:val="20"/>
              </w:rPr>
              <w:t>Expériences spécifiques</w:t>
            </w:r>
            <w:r w:rsidRPr="00245511" w:rsidDel="009743D6">
              <w:rPr>
                <w:rFonts w:ascii="Book Antiqua" w:hAnsi="Book Antiqu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7563C17A" w14:textId="17D4818A" w:rsidR="00462DB7" w:rsidRPr="00245511" w:rsidRDefault="00B462BD" w:rsidP="00267CEB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55</w:t>
            </w:r>
          </w:p>
        </w:tc>
      </w:tr>
      <w:tr w:rsidR="005B1D60" w:rsidRPr="00245511" w14:paraId="5ADC7A08" w14:textId="77777777" w:rsidTr="007E6A3E">
        <w:trPr>
          <w:trHeight w:val="1755"/>
          <w:jc w:val="center"/>
        </w:trPr>
        <w:tc>
          <w:tcPr>
            <w:tcW w:w="562" w:type="dxa"/>
            <w:shd w:val="clear" w:color="auto" w:fill="auto"/>
          </w:tcPr>
          <w:p w14:paraId="6AE66CE0" w14:textId="77777777" w:rsidR="00462DB7" w:rsidRPr="00245511" w:rsidRDefault="00462DB7" w:rsidP="00267CEB">
            <w:pPr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t>2.1</w:t>
            </w:r>
          </w:p>
          <w:p w14:paraId="74CBFFB9" w14:textId="7BED1835" w:rsidR="00462DB7" w:rsidRPr="00245511" w:rsidRDefault="00462DB7" w:rsidP="00267CEB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auto"/>
          </w:tcPr>
          <w:p w14:paraId="789B11FC" w14:textId="1F14F448" w:rsidR="00A428B6" w:rsidRPr="00245511" w:rsidRDefault="00462DB7" w:rsidP="00267CEB">
            <w:pPr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t xml:space="preserve">Expériences professionnelles avérées d’au moins </w:t>
            </w:r>
            <w:r w:rsidR="00DB4444">
              <w:rPr>
                <w:rFonts w:ascii="Book Antiqua" w:hAnsi="Book Antiqua"/>
                <w:sz w:val="20"/>
                <w:szCs w:val="20"/>
              </w:rPr>
              <w:t xml:space="preserve">huit (8) ans </w:t>
            </w:r>
            <w:r w:rsidR="00A428B6" w:rsidRPr="00A428B6">
              <w:rPr>
                <w:rFonts w:ascii="Book Antiqua" w:hAnsi="Book Antiqua"/>
                <w:sz w:val="20"/>
                <w:szCs w:val="20"/>
              </w:rPr>
              <w:t>avec au moins cinq (5) ans</w:t>
            </w:r>
            <w:r w:rsidR="00A428B6" w:rsidRPr="00637F1B">
              <w:t xml:space="preserve"> </w:t>
            </w:r>
            <w:r w:rsidR="00A428B6" w:rsidRPr="00A428B6">
              <w:rPr>
                <w:rFonts w:ascii="Book Antiqua" w:hAnsi="Book Antiqua"/>
                <w:sz w:val="20"/>
                <w:szCs w:val="20"/>
              </w:rPr>
              <w:t>dans la supervision, la coordination des équipes dans les domaines que sont les finances, la gestion de la trésorerie, la banque, le contrôle de gestion, l’audit, l'administration.</w:t>
            </w:r>
            <w:r w:rsidR="00A428B6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A428B6" w:rsidRPr="00A428B6">
              <w:rPr>
                <w:rFonts w:ascii="Book Antiqua" w:hAnsi="Book Antiqua"/>
                <w:sz w:val="20"/>
                <w:szCs w:val="20"/>
              </w:rPr>
              <w:t>Une expérience en cabinet d’audit ou de conseil en comptabilité serait un atout</w:t>
            </w:r>
          </w:p>
          <w:p w14:paraId="14534ADD" w14:textId="450B1DF6" w:rsidR="00462DB7" w:rsidRPr="00245511" w:rsidRDefault="00462DB7" w:rsidP="0024551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3" w:hanging="284"/>
              <w:rPr>
                <w:rFonts w:ascii="Book Antiqua" w:hAnsi="Book Antiqua"/>
                <w:b/>
                <w:bCs/>
                <w:i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 xml:space="preserve">Expérience de huit (08) ans : </w:t>
            </w:r>
            <w:r w:rsidR="00B462BD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>20</w:t>
            </w:r>
            <w:r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 xml:space="preserve"> points</w:t>
            </w:r>
          </w:p>
          <w:p w14:paraId="5A6BCCDC" w14:textId="2D136C63" w:rsidR="00462DB7" w:rsidRPr="00245511" w:rsidRDefault="00462DB7" w:rsidP="0024551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3" w:hanging="284"/>
              <w:rPr>
                <w:rFonts w:ascii="Book Antiqua" w:hAnsi="Book Antiqua"/>
                <w:b/>
                <w:bCs/>
                <w:i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>Au-delà de huit (</w:t>
            </w:r>
            <w:r w:rsidR="005B1D60"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>08</w:t>
            </w:r>
            <w:r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>) ans : 01 point par année supplémentaire jusqu’à un maximum de 5 points</w:t>
            </w:r>
          </w:p>
          <w:p w14:paraId="602E3E3E" w14:textId="77777777" w:rsidR="00462DB7" w:rsidRPr="00A428B6" w:rsidRDefault="00462DB7" w:rsidP="0024551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3" w:hanging="284"/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>Expérience inférieure à</w:t>
            </w:r>
            <w:r w:rsidR="005B1D60"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 xml:space="preserve"> huit </w:t>
            </w:r>
            <w:r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>(0</w:t>
            </w:r>
            <w:r w:rsidR="005B1D60"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>8</w:t>
            </w:r>
            <w:r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>) ans : 0 point</w:t>
            </w:r>
          </w:p>
          <w:p w14:paraId="749F062F" w14:textId="7EB5CC2C" w:rsidR="00A428B6" w:rsidRPr="00245511" w:rsidRDefault="00A428B6" w:rsidP="00A428B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3" w:hanging="284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>Expérience en cabinet d’audit ou conseil en comptabilité : 5 points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1AA9284A" w14:textId="6ADE3E02" w:rsidR="00462DB7" w:rsidRPr="00245511" w:rsidRDefault="00001CBE" w:rsidP="00001CBE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   </w:t>
            </w:r>
            <w:r w:rsidR="00B462BD">
              <w:rPr>
                <w:rFonts w:ascii="Book Antiqua" w:hAnsi="Book Antiqua"/>
                <w:sz w:val="20"/>
                <w:szCs w:val="20"/>
              </w:rPr>
              <w:t>30</w:t>
            </w:r>
          </w:p>
          <w:p w14:paraId="4564B647" w14:textId="77777777" w:rsidR="00245511" w:rsidRPr="00245511" w:rsidRDefault="00245511" w:rsidP="00267CEB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  <w:p w14:paraId="1A702231" w14:textId="3BEC974A" w:rsidR="00245511" w:rsidRPr="00245511" w:rsidRDefault="00245511" w:rsidP="00257F0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1D60" w:rsidRPr="00245511" w14:paraId="76515AC4" w14:textId="77777777" w:rsidTr="007E6A3E">
        <w:trPr>
          <w:jc w:val="center"/>
        </w:trPr>
        <w:tc>
          <w:tcPr>
            <w:tcW w:w="562" w:type="dxa"/>
            <w:shd w:val="clear" w:color="auto" w:fill="auto"/>
          </w:tcPr>
          <w:p w14:paraId="09AE40D3" w14:textId="07860C99" w:rsidR="00462DB7" w:rsidRPr="00245511" w:rsidRDefault="007E6A3E" w:rsidP="00267CEB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</w:t>
            </w:r>
            <w:r w:rsidR="00462DB7" w:rsidRPr="00245511">
              <w:rPr>
                <w:rFonts w:ascii="Book Antiqua" w:hAnsi="Book Antiqua"/>
                <w:sz w:val="20"/>
                <w:szCs w:val="20"/>
              </w:rPr>
              <w:t>.2</w:t>
            </w:r>
          </w:p>
        </w:tc>
        <w:tc>
          <w:tcPr>
            <w:tcW w:w="8789" w:type="dxa"/>
            <w:shd w:val="clear" w:color="auto" w:fill="auto"/>
          </w:tcPr>
          <w:p w14:paraId="7CF986F6" w14:textId="7B35B289" w:rsidR="00462DB7" w:rsidRPr="00245511" w:rsidRDefault="00462DB7" w:rsidP="00267CEB">
            <w:pPr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t xml:space="preserve">Avoir au moins </w:t>
            </w:r>
            <w:r w:rsidR="003E216E">
              <w:rPr>
                <w:rFonts w:ascii="Book Antiqua" w:hAnsi="Book Antiqua"/>
                <w:sz w:val="20"/>
                <w:szCs w:val="20"/>
              </w:rPr>
              <w:t>trois</w:t>
            </w:r>
            <w:r w:rsidRPr="00245511">
              <w:rPr>
                <w:rFonts w:ascii="Book Antiqua" w:hAnsi="Book Antiqua"/>
                <w:sz w:val="20"/>
                <w:szCs w:val="20"/>
              </w:rPr>
              <w:t xml:space="preserve"> (</w:t>
            </w:r>
            <w:r w:rsidR="003E216E">
              <w:rPr>
                <w:rFonts w:ascii="Book Antiqua" w:hAnsi="Book Antiqua"/>
                <w:sz w:val="20"/>
                <w:szCs w:val="20"/>
              </w:rPr>
              <w:t>03</w:t>
            </w:r>
            <w:r w:rsidRPr="00245511">
              <w:rPr>
                <w:rFonts w:ascii="Book Antiqua" w:hAnsi="Book Antiqua"/>
                <w:sz w:val="20"/>
                <w:szCs w:val="20"/>
              </w:rPr>
              <w:t xml:space="preserve">) ans d’expérience en qualité </w:t>
            </w:r>
            <w:r w:rsidR="005B1D60" w:rsidRPr="00245511">
              <w:rPr>
                <w:rFonts w:ascii="Book Antiqua" w:hAnsi="Book Antiqua"/>
                <w:sz w:val="20"/>
                <w:szCs w:val="20"/>
              </w:rPr>
              <w:t>d’Expert en Gestion Financière ou Expert-Comptable, dans</w:t>
            </w:r>
            <w:r w:rsidRPr="00245511">
              <w:rPr>
                <w:rFonts w:ascii="Book Antiqua" w:hAnsi="Book Antiqua"/>
                <w:sz w:val="20"/>
                <w:szCs w:val="20"/>
              </w:rPr>
              <w:t xml:space="preserve"> des projets financés par la B</w:t>
            </w:r>
            <w:r w:rsidR="003E216E">
              <w:rPr>
                <w:rFonts w:ascii="Book Antiqua" w:hAnsi="Book Antiqua"/>
                <w:sz w:val="20"/>
                <w:szCs w:val="20"/>
              </w:rPr>
              <w:t xml:space="preserve">anque </w:t>
            </w:r>
            <w:r w:rsidRPr="00245511">
              <w:rPr>
                <w:rFonts w:ascii="Book Antiqua" w:hAnsi="Book Antiqua"/>
                <w:sz w:val="20"/>
                <w:szCs w:val="20"/>
              </w:rPr>
              <w:t>A</w:t>
            </w:r>
            <w:r w:rsidR="003E216E">
              <w:rPr>
                <w:rFonts w:ascii="Book Antiqua" w:hAnsi="Book Antiqua"/>
                <w:sz w:val="20"/>
                <w:szCs w:val="20"/>
              </w:rPr>
              <w:t xml:space="preserve">fricaine de </w:t>
            </w:r>
            <w:r w:rsidR="00A428B6" w:rsidRPr="00245511">
              <w:rPr>
                <w:rFonts w:ascii="Book Antiqua" w:hAnsi="Book Antiqua"/>
                <w:sz w:val="20"/>
                <w:szCs w:val="20"/>
              </w:rPr>
              <w:t>D</w:t>
            </w:r>
            <w:r w:rsidR="00A428B6">
              <w:rPr>
                <w:rFonts w:ascii="Book Antiqua" w:hAnsi="Book Antiqua"/>
                <w:sz w:val="20"/>
                <w:szCs w:val="20"/>
              </w:rPr>
              <w:t xml:space="preserve">éveloppement </w:t>
            </w:r>
            <w:r w:rsidR="00A428B6" w:rsidRPr="00245511">
              <w:rPr>
                <w:rFonts w:ascii="Book Antiqua" w:hAnsi="Book Antiqua"/>
                <w:sz w:val="20"/>
                <w:szCs w:val="20"/>
              </w:rPr>
              <w:t>et</w:t>
            </w:r>
            <w:r w:rsidRPr="00245511">
              <w:rPr>
                <w:rFonts w:ascii="Book Antiqua" w:hAnsi="Book Antiqua"/>
                <w:sz w:val="20"/>
                <w:szCs w:val="20"/>
              </w:rPr>
              <w:t>/ou institutions multilatérales de développement</w:t>
            </w:r>
          </w:p>
          <w:p w14:paraId="0BBB80EF" w14:textId="2607CC6B" w:rsidR="00462DB7" w:rsidRPr="00245511" w:rsidRDefault="00462DB7" w:rsidP="0024551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73" w:hanging="142"/>
              <w:rPr>
                <w:rFonts w:ascii="Book Antiqua" w:hAnsi="Book Antiqua"/>
                <w:b/>
                <w:bCs/>
                <w:i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 xml:space="preserve">Expérience de </w:t>
            </w:r>
            <w:r w:rsidR="003E216E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>trois (03</w:t>
            </w:r>
            <w:r w:rsidR="005B1D60"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>)</w:t>
            </w:r>
            <w:r w:rsidR="003E216E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 xml:space="preserve"> ans : </w:t>
            </w:r>
            <w:r w:rsidR="00B462BD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 xml:space="preserve">15 </w:t>
            </w:r>
            <w:r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 xml:space="preserve"> points</w:t>
            </w:r>
          </w:p>
          <w:p w14:paraId="334E0427" w14:textId="72EDB858" w:rsidR="00462DB7" w:rsidRPr="00245511" w:rsidRDefault="00462DB7" w:rsidP="0024551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73" w:hanging="142"/>
              <w:rPr>
                <w:rFonts w:ascii="Book Antiqua" w:hAnsi="Book Antiqua"/>
                <w:b/>
                <w:bCs/>
                <w:i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 xml:space="preserve">Au-delà de </w:t>
            </w:r>
            <w:r w:rsidR="003E216E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>trois (03</w:t>
            </w:r>
            <w:r w:rsidR="005B1D60"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>)</w:t>
            </w:r>
            <w:r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 xml:space="preserve"> ans : 2,5 points par année supplémentaire jusqu’à un maximum de 1</w:t>
            </w:r>
            <w:r w:rsidR="00001CBE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>0</w:t>
            </w:r>
            <w:r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 xml:space="preserve"> points</w:t>
            </w:r>
          </w:p>
          <w:p w14:paraId="53020FE7" w14:textId="4DF78B02" w:rsidR="00462DB7" w:rsidRPr="00245511" w:rsidRDefault="00462DB7" w:rsidP="003E216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73" w:hanging="142"/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 xml:space="preserve">Expérience inférieure à </w:t>
            </w:r>
            <w:r w:rsidR="003E216E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>trois</w:t>
            </w:r>
            <w:r w:rsidR="005B1D60"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 xml:space="preserve"> (0</w:t>
            </w:r>
            <w:r w:rsidR="003E216E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>3</w:t>
            </w:r>
            <w:r w:rsidR="005B1D60"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>)</w:t>
            </w:r>
            <w:r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 xml:space="preserve"> ans : 0 point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7D6D3A5E" w14:textId="0C108A48" w:rsidR="00245511" w:rsidRPr="00245511" w:rsidRDefault="00B462BD" w:rsidP="00257F04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25</w:t>
            </w:r>
          </w:p>
          <w:p w14:paraId="5E39F179" w14:textId="77777777" w:rsidR="00245511" w:rsidRPr="00245511" w:rsidRDefault="00245511" w:rsidP="00267CEB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  <w:p w14:paraId="2108610D" w14:textId="77777777" w:rsidR="00245511" w:rsidRPr="00245511" w:rsidRDefault="00245511" w:rsidP="00267CEB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  <w:p w14:paraId="33CA6354" w14:textId="6FF18F03" w:rsidR="00245511" w:rsidRPr="00245511" w:rsidRDefault="00245511" w:rsidP="00267CEB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1D60" w:rsidRPr="00245511" w14:paraId="0F45FE17" w14:textId="77777777" w:rsidTr="007E6A3E">
        <w:trPr>
          <w:jc w:val="center"/>
        </w:trPr>
        <w:tc>
          <w:tcPr>
            <w:tcW w:w="562" w:type="dxa"/>
            <w:shd w:val="clear" w:color="auto" w:fill="auto"/>
          </w:tcPr>
          <w:p w14:paraId="5BAAA4EC" w14:textId="77777777" w:rsidR="00462DB7" w:rsidRPr="00245511" w:rsidRDefault="00462DB7" w:rsidP="00267CEB">
            <w:pPr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789" w:type="dxa"/>
            <w:shd w:val="clear" w:color="auto" w:fill="auto"/>
          </w:tcPr>
          <w:p w14:paraId="3C85C79A" w14:textId="77777777" w:rsidR="00462DB7" w:rsidRPr="00245511" w:rsidRDefault="00462DB7" w:rsidP="00267CEB">
            <w:pPr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245511">
              <w:rPr>
                <w:rFonts w:ascii="Book Antiqua" w:eastAsia="MS Mincho" w:hAnsi="Book Antiqua"/>
                <w:b/>
                <w:bCs/>
                <w:sz w:val="20"/>
                <w:szCs w:val="20"/>
                <w:lang w:eastAsia="ja-JP"/>
              </w:rPr>
              <w:t>Connaissances informatiques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73473EED" w14:textId="77777777" w:rsidR="00462DB7" w:rsidRPr="00245511" w:rsidRDefault="00462DB7" w:rsidP="00267CEB">
            <w:pPr>
              <w:jc w:val="center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bCs/>
                <w:sz w:val="20"/>
                <w:szCs w:val="20"/>
              </w:rPr>
              <w:t>10</w:t>
            </w:r>
          </w:p>
        </w:tc>
      </w:tr>
      <w:tr w:rsidR="005B1D60" w:rsidRPr="00245511" w14:paraId="365E916B" w14:textId="77777777" w:rsidTr="007E6A3E">
        <w:trPr>
          <w:jc w:val="center"/>
        </w:trPr>
        <w:tc>
          <w:tcPr>
            <w:tcW w:w="562" w:type="dxa"/>
            <w:shd w:val="clear" w:color="auto" w:fill="auto"/>
          </w:tcPr>
          <w:p w14:paraId="166A373A" w14:textId="77777777" w:rsidR="00462DB7" w:rsidRPr="00245511" w:rsidRDefault="00462DB7" w:rsidP="00267CEB">
            <w:pPr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t>3.1</w:t>
            </w:r>
          </w:p>
          <w:p w14:paraId="0B3172BA" w14:textId="7ADD31AA" w:rsidR="005B1D60" w:rsidRPr="00245511" w:rsidRDefault="005B1D60" w:rsidP="00267CEB">
            <w:pPr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lastRenderedPageBreak/>
              <w:t>3.2</w:t>
            </w:r>
          </w:p>
        </w:tc>
        <w:tc>
          <w:tcPr>
            <w:tcW w:w="8789" w:type="dxa"/>
            <w:shd w:val="clear" w:color="auto" w:fill="auto"/>
          </w:tcPr>
          <w:p w14:paraId="6C1ECF10" w14:textId="38A470F2" w:rsidR="00462DB7" w:rsidRPr="00245511" w:rsidRDefault="00462DB7" w:rsidP="00267CEB">
            <w:pPr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lastRenderedPageBreak/>
              <w:t>Maitrise du logiciel TOM</w:t>
            </w:r>
            <w:r w:rsidR="00FE6DC5">
              <w:rPr>
                <w:rFonts w:ascii="Book Antiqua" w:hAnsi="Book Antiqua"/>
                <w:sz w:val="20"/>
                <w:szCs w:val="20"/>
              </w:rPr>
              <w:t>2</w:t>
            </w:r>
            <w:r w:rsidRPr="00245511">
              <w:rPr>
                <w:rFonts w:ascii="Book Antiqua" w:hAnsi="Book Antiqua"/>
                <w:sz w:val="20"/>
                <w:szCs w:val="20"/>
              </w:rPr>
              <w:t>PRO</w:t>
            </w:r>
            <w:r w:rsidR="00167FBC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  <w:p w14:paraId="030B1028" w14:textId="1998283C" w:rsidR="005B1D60" w:rsidRPr="00245511" w:rsidRDefault="00245511" w:rsidP="00267CEB">
            <w:pPr>
              <w:rPr>
                <w:rFonts w:ascii="Book Antiqua" w:eastAsia="MS Mincho" w:hAnsi="Book Antiqua"/>
                <w:sz w:val="20"/>
                <w:szCs w:val="20"/>
                <w:lang w:eastAsia="ja-JP"/>
              </w:rPr>
            </w:pPr>
            <w:r w:rsidRPr="00245511">
              <w:rPr>
                <w:rFonts w:ascii="Book Antiqua" w:eastAsia="MS Mincho" w:hAnsi="Book Antiqua"/>
                <w:sz w:val="20"/>
                <w:szCs w:val="20"/>
                <w:lang w:eastAsia="ja-JP"/>
              </w:rPr>
              <w:lastRenderedPageBreak/>
              <w:t>O</w:t>
            </w:r>
            <w:r w:rsidR="005B1D60" w:rsidRPr="00245511">
              <w:rPr>
                <w:rFonts w:ascii="Book Antiqua" w:eastAsia="MS Mincho" w:hAnsi="Book Antiqua"/>
                <w:sz w:val="20"/>
                <w:szCs w:val="20"/>
                <w:lang w:eastAsia="ja-JP"/>
              </w:rPr>
              <w:t xml:space="preserve">utils informatiques (Microsoft office, etc.) : </w:t>
            </w:r>
            <w:r w:rsidRPr="00245511">
              <w:rPr>
                <w:rFonts w:ascii="Book Antiqua" w:hAnsi="Book Antiqua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0ED1F20A" w14:textId="77777777" w:rsidR="00462DB7" w:rsidRPr="00245511" w:rsidRDefault="005B1D60" w:rsidP="00267CEB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lastRenderedPageBreak/>
              <w:t>05</w:t>
            </w:r>
          </w:p>
          <w:p w14:paraId="5A77860D" w14:textId="7BF2A409" w:rsidR="00245511" w:rsidRPr="00245511" w:rsidRDefault="00245511" w:rsidP="00267CEB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lastRenderedPageBreak/>
              <w:t>05</w:t>
            </w:r>
          </w:p>
        </w:tc>
      </w:tr>
      <w:tr w:rsidR="00462DB7" w:rsidRPr="00245511" w14:paraId="26D2AAB1" w14:textId="77777777" w:rsidTr="007E6A3E">
        <w:trPr>
          <w:jc w:val="center"/>
        </w:trPr>
        <w:tc>
          <w:tcPr>
            <w:tcW w:w="9351" w:type="dxa"/>
            <w:gridSpan w:val="2"/>
            <w:shd w:val="clear" w:color="auto" w:fill="auto"/>
          </w:tcPr>
          <w:p w14:paraId="64FD878A" w14:textId="77777777" w:rsidR="00462DB7" w:rsidRPr="00245511" w:rsidRDefault="00462DB7" w:rsidP="00267CEB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6D45B8E2" w14:textId="77777777" w:rsidR="00462DB7" w:rsidRPr="00245511" w:rsidRDefault="00462DB7" w:rsidP="00267CEB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sz w:val="20"/>
                <w:szCs w:val="20"/>
              </w:rPr>
              <w:t>100</w:t>
            </w:r>
          </w:p>
        </w:tc>
      </w:tr>
      <w:bookmarkEnd w:id="1"/>
    </w:tbl>
    <w:p w14:paraId="0C9F46BE" w14:textId="77777777" w:rsidR="0016005B" w:rsidRPr="00A311AA" w:rsidRDefault="0016005B" w:rsidP="00A311AA">
      <w:pPr>
        <w:tabs>
          <w:tab w:val="left" w:pos="142"/>
        </w:tabs>
        <w:spacing w:after="0" w:line="240" w:lineRule="auto"/>
        <w:jc w:val="both"/>
        <w:rPr>
          <w:rFonts w:ascii="Times New Roman" w:hAnsi="Times New Roman"/>
          <w:spacing w:val="-2"/>
          <w:sz w:val="26"/>
          <w:szCs w:val="26"/>
        </w:rPr>
      </w:pPr>
    </w:p>
    <w:p w14:paraId="556996FA" w14:textId="76930535" w:rsidR="004D67EC" w:rsidRPr="00257F04" w:rsidRDefault="003A6351" w:rsidP="00257F04">
      <w:pPr>
        <w:pStyle w:val="ListParagraph"/>
        <w:numPr>
          <w:ilvl w:val="0"/>
          <w:numId w:val="17"/>
        </w:numPr>
        <w:tabs>
          <w:tab w:val="left" w:pos="142"/>
        </w:tabs>
        <w:spacing w:after="0" w:line="240" w:lineRule="auto"/>
        <w:ind w:left="142"/>
        <w:jc w:val="both"/>
        <w:rPr>
          <w:rFonts w:ascii="Times New Roman" w:hAnsi="Times New Roman"/>
          <w:iCs/>
          <w:spacing w:val="-2"/>
          <w:sz w:val="26"/>
          <w:szCs w:val="26"/>
          <w:u w:val="single"/>
        </w:rPr>
      </w:pPr>
      <w:r w:rsidRPr="00257F04">
        <w:rPr>
          <w:rFonts w:ascii="Times New Roman" w:hAnsi="Times New Roman"/>
          <w:spacing w:val="-2"/>
          <w:sz w:val="26"/>
          <w:szCs w:val="26"/>
        </w:rPr>
        <w:t xml:space="preserve">Les consultants </w:t>
      </w:r>
      <w:r w:rsidRPr="00257F04">
        <w:rPr>
          <w:rFonts w:ascii="Times New Roman" w:hAnsi="Times New Roman"/>
          <w:color w:val="000000"/>
          <w:spacing w:val="-2"/>
          <w:sz w:val="26"/>
          <w:szCs w:val="26"/>
        </w:rPr>
        <w:t>intéressés</w:t>
      </w:r>
      <w:r w:rsidRPr="00257F04">
        <w:rPr>
          <w:rFonts w:ascii="Times New Roman" w:hAnsi="Times New Roman"/>
          <w:spacing w:val="-2"/>
          <w:sz w:val="26"/>
          <w:szCs w:val="26"/>
        </w:rPr>
        <w:t xml:space="preserve"> peuvent obtenir des informations supplémentaires</w:t>
      </w:r>
      <w:r w:rsidR="002A23BA" w:rsidRPr="00257F04">
        <w:rPr>
          <w:rFonts w:ascii="Times New Roman" w:hAnsi="Times New Roman"/>
          <w:spacing w:val="-2"/>
          <w:sz w:val="26"/>
          <w:szCs w:val="26"/>
        </w:rPr>
        <w:t xml:space="preserve"> et les Termes de Références</w:t>
      </w:r>
      <w:r w:rsidRPr="00257F04">
        <w:rPr>
          <w:rFonts w:ascii="Times New Roman" w:hAnsi="Times New Roman"/>
          <w:spacing w:val="-2"/>
          <w:sz w:val="26"/>
          <w:szCs w:val="26"/>
        </w:rPr>
        <w:t xml:space="preserve"> à l'adresse mentionnée ci-dessous aux heures d’ouverture de bureaux suivantes : de 9h00’ à 15h00’</w:t>
      </w:r>
      <w:r w:rsidR="004D67EC" w:rsidRPr="00257F04">
        <w:rPr>
          <w:rFonts w:ascii="Times New Roman" w:hAnsi="Times New Roman"/>
          <w:spacing w:val="-2"/>
          <w:sz w:val="26"/>
          <w:szCs w:val="26"/>
        </w:rPr>
        <w:t xml:space="preserve"> (</w:t>
      </w:r>
      <w:r w:rsidRPr="00257F04">
        <w:rPr>
          <w:rFonts w:ascii="Times New Roman" w:hAnsi="Times New Roman"/>
          <w:spacing w:val="-2"/>
          <w:sz w:val="26"/>
          <w:szCs w:val="26"/>
        </w:rPr>
        <w:t>heure locale</w:t>
      </w:r>
      <w:r w:rsidR="00245511" w:rsidRPr="00257F04">
        <w:rPr>
          <w:rFonts w:ascii="Times New Roman" w:hAnsi="Times New Roman"/>
          <w:spacing w:val="-2"/>
          <w:sz w:val="26"/>
          <w:szCs w:val="26"/>
        </w:rPr>
        <w:t xml:space="preserve">, </w:t>
      </w:r>
      <w:r w:rsidRPr="00257F04">
        <w:rPr>
          <w:rFonts w:ascii="Times New Roman" w:hAnsi="Times New Roman"/>
          <w:spacing w:val="-2"/>
          <w:sz w:val="26"/>
          <w:szCs w:val="26"/>
        </w:rPr>
        <w:t>TU+1)</w:t>
      </w:r>
      <w:r w:rsidR="004D67EC" w:rsidRPr="00257F04">
        <w:rPr>
          <w:rFonts w:ascii="Times New Roman" w:hAnsi="Times New Roman"/>
          <w:spacing w:val="-2"/>
          <w:sz w:val="26"/>
          <w:szCs w:val="26"/>
        </w:rPr>
        <w:t>.</w:t>
      </w:r>
    </w:p>
    <w:p w14:paraId="782C4A24" w14:textId="77777777" w:rsidR="003E7F13" w:rsidRPr="00E76848" w:rsidRDefault="003E7F13" w:rsidP="003E7F13">
      <w:pPr>
        <w:pStyle w:val="ListParagraph"/>
        <w:spacing w:after="0" w:line="240" w:lineRule="auto"/>
        <w:rPr>
          <w:rFonts w:ascii="Times New Roman" w:hAnsi="Times New Roman"/>
          <w:iCs/>
          <w:spacing w:val="-2"/>
          <w:sz w:val="26"/>
          <w:szCs w:val="26"/>
          <w:u w:val="single"/>
        </w:rPr>
      </w:pPr>
    </w:p>
    <w:p w14:paraId="56252CC1" w14:textId="095A77A2" w:rsidR="003A6351" w:rsidRPr="00E76848" w:rsidRDefault="004D7327" w:rsidP="00257F04">
      <w:pPr>
        <w:numPr>
          <w:ilvl w:val="0"/>
          <w:numId w:val="17"/>
        </w:numPr>
        <w:tabs>
          <w:tab w:val="left" w:pos="142"/>
        </w:tabs>
        <w:spacing w:after="0" w:line="240" w:lineRule="auto"/>
        <w:ind w:left="142" w:hanging="426"/>
        <w:jc w:val="both"/>
        <w:rPr>
          <w:rFonts w:ascii="Times New Roman" w:hAnsi="Times New Roman"/>
          <w:color w:val="000000"/>
          <w:sz w:val="26"/>
          <w:szCs w:val="26"/>
        </w:rPr>
      </w:pPr>
      <w:r w:rsidRPr="00E76848">
        <w:rPr>
          <w:rFonts w:ascii="Times New Roman" w:hAnsi="Times New Roman"/>
          <w:color w:val="000000"/>
          <w:spacing w:val="-2"/>
          <w:sz w:val="26"/>
          <w:szCs w:val="26"/>
        </w:rPr>
        <w:t xml:space="preserve">Les </w:t>
      </w:r>
      <w:r w:rsidRPr="00E76848">
        <w:rPr>
          <w:rFonts w:ascii="Times New Roman" w:hAnsi="Times New Roman"/>
          <w:spacing w:val="-2"/>
          <w:sz w:val="26"/>
          <w:szCs w:val="26"/>
        </w:rPr>
        <w:t>expressions</w:t>
      </w:r>
      <w:r w:rsidRPr="00E76848">
        <w:rPr>
          <w:rFonts w:ascii="Times New Roman" w:hAnsi="Times New Roman"/>
          <w:color w:val="000000"/>
          <w:spacing w:val="-2"/>
          <w:sz w:val="26"/>
          <w:szCs w:val="26"/>
        </w:rPr>
        <w:t xml:space="preserve"> d'intérêt doivent être déposées sous plis fermés à </w:t>
      </w:r>
      <w:r w:rsidRPr="00E76848">
        <w:rPr>
          <w:rFonts w:ascii="Times New Roman" w:hAnsi="Times New Roman"/>
          <w:spacing w:val="-2"/>
          <w:sz w:val="26"/>
          <w:szCs w:val="26"/>
        </w:rPr>
        <w:t>l’adresse</w:t>
      </w:r>
      <w:r w:rsidRPr="00E76848">
        <w:rPr>
          <w:rFonts w:ascii="Times New Roman" w:hAnsi="Times New Roman"/>
          <w:color w:val="000000"/>
          <w:spacing w:val="-2"/>
          <w:sz w:val="26"/>
          <w:szCs w:val="26"/>
        </w:rPr>
        <w:t xml:space="preserve"> mentionnée ci-dessous, au plus tard </w:t>
      </w:r>
      <w:r w:rsidRPr="00E76848">
        <w:rPr>
          <w:rFonts w:ascii="Times New Roman" w:hAnsi="Times New Roman"/>
          <w:spacing w:val="-2"/>
          <w:sz w:val="26"/>
          <w:szCs w:val="26"/>
        </w:rPr>
        <w:t>le</w:t>
      </w:r>
      <w:r w:rsidR="00FE6DC5">
        <w:rPr>
          <w:rFonts w:ascii="Times New Roman" w:hAnsi="Times New Roman"/>
          <w:spacing w:val="-2"/>
          <w:sz w:val="26"/>
          <w:szCs w:val="26"/>
        </w:rPr>
        <w:t xml:space="preserve"> 2</w:t>
      </w:r>
      <w:r w:rsidR="00D74761">
        <w:rPr>
          <w:rFonts w:ascii="Times New Roman" w:hAnsi="Times New Roman"/>
          <w:spacing w:val="-2"/>
          <w:sz w:val="26"/>
          <w:szCs w:val="26"/>
        </w:rPr>
        <w:t>8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 w:rsidR="00027F53">
        <w:rPr>
          <w:rFonts w:ascii="Times New Roman" w:hAnsi="Times New Roman"/>
          <w:spacing w:val="-2"/>
          <w:sz w:val="26"/>
          <w:szCs w:val="26"/>
        </w:rPr>
        <w:t>février</w:t>
      </w:r>
      <w:r>
        <w:rPr>
          <w:rFonts w:ascii="Times New Roman" w:hAnsi="Times New Roman"/>
          <w:spacing w:val="-2"/>
          <w:sz w:val="26"/>
          <w:szCs w:val="26"/>
        </w:rPr>
        <w:t xml:space="preserve"> 2024</w:t>
      </w:r>
      <w:r w:rsidRPr="00E76848">
        <w:rPr>
          <w:rFonts w:ascii="Times New Roman" w:hAnsi="Times New Roman"/>
          <w:color w:val="000000"/>
          <w:spacing w:val="-2"/>
          <w:sz w:val="26"/>
          <w:szCs w:val="26"/>
        </w:rPr>
        <w:t xml:space="preserve"> à </w:t>
      </w:r>
      <w:r w:rsidRPr="00E76848">
        <w:rPr>
          <w:rFonts w:ascii="Times New Roman" w:hAnsi="Times New Roman"/>
          <w:b/>
          <w:color w:val="000000"/>
          <w:spacing w:val="-2"/>
          <w:sz w:val="26"/>
          <w:szCs w:val="26"/>
        </w:rPr>
        <w:t>15 heures</w:t>
      </w:r>
      <w:r w:rsidRPr="00E76848">
        <w:rPr>
          <w:rFonts w:ascii="Times New Roman" w:hAnsi="Times New Roman"/>
          <w:color w:val="000000"/>
          <w:spacing w:val="-2"/>
          <w:sz w:val="26"/>
          <w:szCs w:val="26"/>
        </w:rPr>
        <w:t xml:space="preserve"> (heure locale</w:t>
      </w:r>
      <w:r w:rsidR="00027F53">
        <w:rPr>
          <w:rFonts w:ascii="Times New Roman" w:hAnsi="Times New Roman"/>
          <w:color w:val="000000"/>
          <w:spacing w:val="-2"/>
          <w:sz w:val="26"/>
          <w:szCs w:val="26"/>
        </w:rPr>
        <w:t xml:space="preserve">, </w:t>
      </w:r>
      <w:r w:rsidRPr="00E76848">
        <w:rPr>
          <w:rFonts w:ascii="Times New Roman" w:hAnsi="Times New Roman"/>
          <w:color w:val="000000"/>
          <w:spacing w:val="-2"/>
          <w:sz w:val="26"/>
          <w:szCs w:val="26"/>
        </w:rPr>
        <w:t xml:space="preserve">TU+1) </w:t>
      </w:r>
      <w:r w:rsidRPr="00E76848">
        <w:rPr>
          <w:rFonts w:ascii="Times New Roman" w:hAnsi="Times New Roman"/>
          <w:color w:val="000000"/>
          <w:sz w:val="26"/>
          <w:szCs w:val="26"/>
        </w:rPr>
        <w:t>et porter expressément la mention</w:t>
      </w:r>
      <w:r w:rsidR="003A6351" w:rsidRPr="00E76848">
        <w:rPr>
          <w:rFonts w:ascii="Times New Roman" w:hAnsi="Times New Roman"/>
          <w:color w:val="000000"/>
          <w:sz w:val="26"/>
          <w:szCs w:val="26"/>
        </w:rPr>
        <w:t xml:space="preserve"> « </w:t>
      </w:r>
      <w:r w:rsidR="003A6351" w:rsidRPr="00E76848">
        <w:rPr>
          <w:rFonts w:ascii="Times New Roman" w:hAnsi="Times New Roman"/>
          <w:b/>
          <w:i/>
          <w:color w:val="000000"/>
          <w:sz w:val="26"/>
          <w:szCs w:val="26"/>
        </w:rPr>
        <w:t>AMI n°</w:t>
      </w:r>
      <w:r w:rsidR="00D47A15" w:rsidRPr="00D47A15">
        <w:rPr>
          <w:rFonts w:ascii="Times New Roman" w:hAnsi="Times New Roman"/>
          <w:b/>
          <w:i/>
          <w:color w:val="000000"/>
          <w:sz w:val="26"/>
          <w:szCs w:val="26"/>
        </w:rPr>
        <w:t>00</w:t>
      </w:r>
      <w:r w:rsidR="000B5FCD">
        <w:rPr>
          <w:rFonts w:ascii="Times New Roman" w:hAnsi="Times New Roman"/>
          <w:b/>
          <w:i/>
          <w:color w:val="000000"/>
          <w:sz w:val="26"/>
          <w:szCs w:val="26"/>
        </w:rPr>
        <w:t>2</w:t>
      </w:r>
      <w:r w:rsidR="00D47A15" w:rsidRPr="00D47A15">
        <w:rPr>
          <w:rFonts w:ascii="Times New Roman" w:hAnsi="Times New Roman"/>
          <w:b/>
          <w:i/>
          <w:color w:val="000000"/>
          <w:sz w:val="26"/>
          <w:szCs w:val="26"/>
        </w:rPr>
        <w:t>/PADSFI/MIN.FIN/UGP/2023/SC</w:t>
      </w:r>
      <w:r w:rsidR="003A6351" w:rsidRPr="00E76848">
        <w:rPr>
          <w:rFonts w:ascii="Times New Roman" w:hAnsi="Times New Roman"/>
          <w:b/>
          <w:i/>
          <w:color w:val="000000"/>
          <w:sz w:val="26"/>
          <w:szCs w:val="26"/>
        </w:rPr>
        <w:t xml:space="preserve"> –</w:t>
      </w:r>
      <w:r w:rsidR="004D67EC" w:rsidRPr="00E76848">
        <w:rPr>
          <w:rFonts w:ascii="Times New Roman" w:hAnsi="Times New Roman"/>
          <w:b/>
          <w:i/>
          <w:color w:val="000000"/>
          <w:sz w:val="26"/>
          <w:szCs w:val="26"/>
        </w:rPr>
        <w:t xml:space="preserve"> Recrutement d’un consultant </w:t>
      </w:r>
      <w:r w:rsidR="005A544E" w:rsidRPr="00E76848">
        <w:rPr>
          <w:rFonts w:ascii="Times New Roman" w:hAnsi="Times New Roman"/>
          <w:b/>
          <w:i/>
          <w:color w:val="000000"/>
          <w:sz w:val="26"/>
          <w:szCs w:val="26"/>
        </w:rPr>
        <w:t>individuel,</w:t>
      </w:r>
      <w:r w:rsidR="00222E83">
        <w:rPr>
          <w:rFonts w:ascii="Times New Roman" w:hAnsi="Times New Roman"/>
          <w:b/>
          <w:i/>
          <w:color w:val="000000"/>
          <w:sz w:val="26"/>
          <w:szCs w:val="26"/>
        </w:rPr>
        <w:t xml:space="preserve"> Spécialiste en</w:t>
      </w:r>
      <w:r w:rsidR="000B5FCD">
        <w:rPr>
          <w:rFonts w:ascii="Times New Roman" w:hAnsi="Times New Roman"/>
          <w:b/>
          <w:i/>
          <w:color w:val="000000"/>
          <w:sz w:val="26"/>
          <w:szCs w:val="26"/>
        </w:rPr>
        <w:t xml:space="preserve"> Gestion Financière </w:t>
      </w:r>
      <w:r w:rsidR="003A6351" w:rsidRPr="00E76848">
        <w:rPr>
          <w:rFonts w:ascii="Times New Roman" w:hAnsi="Times New Roman"/>
          <w:i/>
          <w:color w:val="000000"/>
          <w:sz w:val="26"/>
          <w:szCs w:val="26"/>
        </w:rPr>
        <w:t>».</w:t>
      </w:r>
    </w:p>
    <w:p w14:paraId="6B32D4AF" w14:textId="77777777" w:rsidR="003A6351" w:rsidRPr="00E76848" w:rsidRDefault="003A6351" w:rsidP="00CE7BAD">
      <w:pPr>
        <w:tabs>
          <w:tab w:val="left" w:pos="142"/>
        </w:tabs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6B25A21F" w14:textId="77777777" w:rsidR="00876CAF" w:rsidRDefault="00876CAF" w:rsidP="004D7327">
      <w:pPr>
        <w:tabs>
          <w:tab w:val="left" w:pos="142"/>
        </w:tabs>
        <w:spacing w:after="0" w:line="240" w:lineRule="auto"/>
        <w:ind w:left="851"/>
        <w:jc w:val="both"/>
        <w:rPr>
          <w:rFonts w:ascii="Times New Roman" w:hAnsi="Times New Roman"/>
          <w:b/>
          <w:i/>
          <w:spacing w:val="-2"/>
          <w:sz w:val="26"/>
          <w:szCs w:val="26"/>
        </w:rPr>
      </w:pPr>
    </w:p>
    <w:p w14:paraId="18161EFC" w14:textId="34C0FFE4" w:rsidR="004D7327" w:rsidRPr="00876CAF" w:rsidRDefault="004D7327" w:rsidP="004D7327">
      <w:pPr>
        <w:tabs>
          <w:tab w:val="left" w:pos="142"/>
        </w:tabs>
        <w:spacing w:after="0" w:line="240" w:lineRule="auto"/>
        <w:ind w:left="851"/>
        <w:jc w:val="both"/>
        <w:rPr>
          <w:rFonts w:ascii="Times New Roman" w:hAnsi="Times New Roman"/>
          <w:b/>
          <w:i/>
          <w:spacing w:val="-2"/>
          <w:sz w:val="26"/>
          <w:szCs w:val="26"/>
        </w:rPr>
      </w:pPr>
      <w:r w:rsidRPr="00876CAF">
        <w:rPr>
          <w:rFonts w:ascii="Times New Roman" w:hAnsi="Times New Roman"/>
          <w:b/>
          <w:i/>
          <w:spacing w:val="-2"/>
          <w:sz w:val="26"/>
          <w:szCs w:val="26"/>
        </w:rPr>
        <w:t>Unité de Gestion du Projet</w:t>
      </w:r>
    </w:p>
    <w:p w14:paraId="6F1E7FA0" w14:textId="77777777" w:rsidR="00876CAF" w:rsidRPr="00876CAF" w:rsidRDefault="00876CAF" w:rsidP="004D7327">
      <w:pPr>
        <w:tabs>
          <w:tab w:val="left" w:pos="142"/>
        </w:tabs>
        <w:spacing w:after="0" w:line="240" w:lineRule="auto"/>
        <w:ind w:left="851"/>
        <w:jc w:val="both"/>
        <w:rPr>
          <w:rFonts w:ascii="Times New Roman" w:hAnsi="Times New Roman"/>
          <w:b/>
          <w:i/>
          <w:iCs/>
          <w:spacing w:val="-2"/>
          <w:sz w:val="26"/>
          <w:szCs w:val="26"/>
        </w:rPr>
      </w:pPr>
      <w:r w:rsidRPr="00876CAF">
        <w:rPr>
          <w:rFonts w:ascii="Times New Roman" w:hAnsi="Times New Roman"/>
          <w:b/>
          <w:i/>
          <w:iCs/>
          <w:spacing w:val="-2"/>
          <w:sz w:val="26"/>
          <w:szCs w:val="26"/>
        </w:rPr>
        <w:t>8594, avenue Pumbu</w:t>
      </w:r>
    </w:p>
    <w:p w14:paraId="22602527" w14:textId="4447E064" w:rsidR="004D7327" w:rsidRPr="00876CAF" w:rsidRDefault="00876CAF" w:rsidP="00876CAF">
      <w:pPr>
        <w:tabs>
          <w:tab w:val="left" w:pos="142"/>
        </w:tabs>
        <w:spacing w:after="0" w:line="240" w:lineRule="auto"/>
        <w:ind w:left="851"/>
        <w:jc w:val="both"/>
        <w:rPr>
          <w:rFonts w:ascii="Times New Roman" w:hAnsi="Times New Roman"/>
          <w:b/>
          <w:i/>
          <w:iCs/>
          <w:spacing w:val="-2"/>
          <w:sz w:val="26"/>
          <w:szCs w:val="26"/>
        </w:rPr>
      </w:pPr>
      <w:r w:rsidRPr="00876CAF">
        <w:rPr>
          <w:rFonts w:ascii="Times New Roman" w:hAnsi="Times New Roman"/>
          <w:b/>
          <w:i/>
          <w:iCs/>
          <w:spacing w:val="-2"/>
          <w:sz w:val="26"/>
          <w:szCs w:val="26"/>
        </w:rPr>
        <w:t xml:space="preserve">6ème étage, local A, </w:t>
      </w:r>
    </w:p>
    <w:p w14:paraId="5D7E0A81" w14:textId="77777777" w:rsidR="004D7327" w:rsidRPr="00876CAF" w:rsidRDefault="004D7327" w:rsidP="004D7327">
      <w:pPr>
        <w:tabs>
          <w:tab w:val="left" w:pos="142"/>
        </w:tabs>
        <w:spacing w:after="0" w:line="240" w:lineRule="auto"/>
        <w:ind w:left="851"/>
        <w:jc w:val="both"/>
        <w:rPr>
          <w:rFonts w:ascii="Times New Roman" w:hAnsi="Times New Roman"/>
          <w:b/>
          <w:i/>
          <w:iCs/>
          <w:spacing w:val="-2"/>
          <w:sz w:val="26"/>
          <w:szCs w:val="26"/>
        </w:rPr>
      </w:pPr>
      <w:r w:rsidRPr="00876CAF">
        <w:rPr>
          <w:rFonts w:ascii="Times New Roman" w:hAnsi="Times New Roman"/>
          <w:b/>
          <w:i/>
          <w:iCs/>
          <w:spacing w:val="-2"/>
          <w:sz w:val="26"/>
          <w:szCs w:val="26"/>
        </w:rPr>
        <w:t>Kinshasa-Gombe</w:t>
      </w:r>
    </w:p>
    <w:p w14:paraId="4765DFB0" w14:textId="77777777" w:rsidR="004D7327" w:rsidRPr="00876CAF" w:rsidRDefault="004D7327" w:rsidP="004D7327">
      <w:pPr>
        <w:tabs>
          <w:tab w:val="left" w:pos="142"/>
        </w:tabs>
        <w:spacing w:after="0" w:line="240" w:lineRule="auto"/>
        <w:ind w:left="851"/>
        <w:jc w:val="both"/>
        <w:rPr>
          <w:rFonts w:ascii="Times New Roman" w:hAnsi="Times New Roman"/>
          <w:b/>
          <w:i/>
          <w:sz w:val="26"/>
          <w:szCs w:val="26"/>
        </w:rPr>
      </w:pPr>
      <w:r w:rsidRPr="00876CAF">
        <w:rPr>
          <w:rFonts w:ascii="Times New Roman" w:hAnsi="Times New Roman"/>
          <w:b/>
          <w:i/>
          <w:sz w:val="26"/>
          <w:szCs w:val="26"/>
        </w:rPr>
        <w:t>République Démocratique du Congo</w:t>
      </w:r>
    </w:p>
    <w:p w14:paraId="2A434133" w14:textId="77777777" w:rsidR="004D7327" w:rsidRPr="00E76848" w:rsidRDefault="004D7327" w:rsidP="004D7327">
      <w:pPr>
        <w:tabs>
          <w:tab w:val="left" w:pos="142"/>
        </w:tabs>
        <w:spacing w:after="0" w:line="240" w:lineRule="auto"/>
        <w:ind w:left="851"/>
        <w:jc w:val="both"/>
        <w:rPr>
          <w:rFonts w:ascii="Times New Roman" w:hAnsi="Times New Roman"/>
          <w:b/>
          <w:i/>
          <w:iCs/>
          <w:spacing w:val="-2"/>
          <w:sz w:val="26"/>
          <w:szCs w:val="26"/>
        </w:rPr>
      </w:pPr>
      <w:r w:rsidRPr="00876CAF">
        <w:rPr>
          <w:rFonts w:ascii="Times New Roman" w:hAnsi="Times New Roman"/>
          <w:b/>
          <w:i/>
          <w:iCs/>
          <w:spacing w:val="-2"/>
          <w:sz w:val="26"/>
          <w:szCs w:val="26"/>
        </w:rPr>
        <w:t>Tél. : (+243) 815026064</w:t>
      </w:r>
    </w:p>
    <w:p w14:paraId="71290855" w14:textId="7E461992" w:rsidR="004D7327" w:rsidRPr="00E76848" w:rsidRDefault="004D7327" w:rsidP="004D7327">
      <w:pPr>
        <w:tabs>
          <w:tab w:val="left" w:pos="142"/>
        </w:tabs>
        <w:spacing w:after="0" w:line="240" w:lineRule="auto"/>
        <w:ind w:left="851"/>
        <w:jc w:val="both"/>
        <w:rPr>
          <w:rFonts w:ascii="Times New Roman" w:hAnsi="Times New Roman"/>
          <w:color w:val="000000"/>
          <w:sz w:val="26"/>
          <w:szCs w:val="26"/>
        </w:rPr>
      </w:pPr>
      <w:r w:rsidRPr="00E76848">
        <w:rPr>
          <w:rFonts w:ascii="Times New Roman" w:hAnsi="Times New Roman"/>
          <w:b/>
          <w:i/>
          <w:iCs/>
          <w:spacing w:val="-2"/>
          <w:sz w:val="26"/>
          <w:szCs w:val="26"/>
        </w:rPr>
        <w:t xml:space="preserve">E-mail : </w:t>
      </w:r>
      <w:hyperlink r:id="rId8" w:history="1">
        <w:r w:rsidR="00AF1C54" w:rsidRPr="00E63C4A">
          <w:rPr>
            <w:rStyle w:val="Hyperlink"/>
            <w:rFonts w:ascii="Times New Roman" w:hAnsi="Times New Roman"/>
            <w:b/>
            <w:i/>
            <w:iCs/>
            <w:spacing w:val="-2"/>
            <w:sz w:val="26"/>
            <w:szCs w:val="26"/>
          </w:rPr>
          <w:t>padsfi.rdc@finances.gouv.cd</w:t>
        </w:r>
      </w:hyperlink>
    </w:p>
    <w:p w14:paraId="4E3197AB" w14:textId="77777777" w:rsidR="004D7327" w:rsidRPr="00E76848" w:rsidRDefault="004D7327" w:rsidP="004D7327">
      <w:pPr>
        <w:tabs>
          <w:tab w:val="left" w:pos="142"/>
        </w:tabs>
        <w:spacing w:after="0" w:line="24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58EBF148" w14:textId="77777777" w:rsidR="00027F53" w:rsidRDefault="00027F53" w:rsidP="004D7327">
      <w:pPr>
        <w:tabs>
          <w:tab w:val="left" w:pos="142"/>
        </w:tabs>
        <w:spacing w:after="0" w:line="24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5F945F73" w14:textId="135FAFE7" w:rsidR="004D7327" w:rsidRPr="00E76848" w:rsidRDefault="004D7327" w:rsidP="004D7327">
      <w:pPr>
        <w:tabs>
          <w:tab w:val="left" w:pos="142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76848">
        <w:rPr>
          <w:rFonts w:ascii="Times New Roman" w:hAnsi="Times New Roman"/>
          <w:b/>
          <w:color w:val="000000"/>
          <w:sz w:val="26"/>
          <w:szCs w:val="26"/>
        </w:rPr>
        <w:t>Coordonnateur</w:t>
      </w:r>
    </w:p>
    <w:p w14:paraId="5A1EA0EF" w14:textId="77777777" w:rsidR="00DD4D16" w:rsidRPr="00E76848" w:rsidRDefault="00DD4D16" w:rsidP="004D7327">
      <w:pPr>
        <w:tabs>
          <w:tab w:val="left" w:pos="142"/>
        </w:tabs>
        <w:spacing w:after="0" w:line="240" w:lineRule="auto"/>
        <w:ind w:left="851"/>
        <w:jc w:val="both"/>
        <w:rPr>
          <w:rFonts w:ascii="Times New Roman" w:hAnsi="Times New Roman"/>
          <w:sz w:val="26"/>
          <w:szCs w:val="26"/>
        </w:rPr>
      </w:pPr>
    </w:p>
    <w:sectPr w:rsidR="00DD4D16" w:rsidRPr="00E76848" w:rsidSect="005E5CD5">
      <w:headerReference w:type="default" r:id="rId9"/>
      <w:footerReference w:type="default" r:id="rId10"/>
      <w:pgSz w:w="11906" w:h="16838"/>
      <w:pgMar w:top="142" w:right="1274" w:bottom="993" w:left="1134" w:header="284" w:footer="708" w:gutter="0"/>
      <w:pgBorders w:offsetFrom="page">
        <w:top w:val="single" w:sz="24" w:space="24" w:color="0070C0"/>
        <w:left w:val="single" w:sz="24" w:space="24" w:color="0070C0"/>
        <w:bottom w:val="single" w:sz="24" w:space="24" w:color="0070C0"/>
        <w:right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D37C0" w14:textId="77777777" w:rsidR="005E5CD5" w:rsidRDefault="005E5CD5" w:rsidP="00A546E3">
      <w:pPr>
        <w:spacing w:after="0" w:line="240" w:lineRule="auto"/>
      </w:pPr>
      <w:r>
        <w:separator/>
      </w:r>
    </w:p>
  </w:endnote>
  <w:endnote w:type="continuationSeparator" w:id="0">
    <w:p w14:paraId="3F903A0D" w14:textId="77777777" w:rsidR="005E5CD5" w:rsidRDefault="005E5CD5" w:rsidP="00A54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5A59" w14:textId="075059F5" w:rsidR="00F96A87" w:rsidRDefault="00222E83">
    <w:pPr>
      <w:pStyle w:val="Footer"/>
    </w:pPr>
    <w:r>
      <w:rPr>
        <w:rFonts w:ascii="Bradley Hand ITC" w:hAnsi="Bradley Hand ITC"/>
      </w:rPr>
      <w:tab/>
    </w:r>
    <w:r w:rsidR="003C5A8D">
      <w:tab/>
    </w:r>
    <w:r w:rsidR="003C5A8D" w:rsidRPr="0023261E">
      <w:rPr>
        <w:rFonts w:ascii="Arial Narrow" w:hAnsi="Arial Narrow"/>
      </w:rPr>
      <w:t xml:space="preserve">Page </w:t>
    </w:r>
    <w:r w:rsidR="003C5A8D" w:rsidRPr="0023261E">
      <w:rPr>
        <w:rFonts w:ascii="Arial Narrow" w:hAnsi="Arial Narrow"/>
        <w:b/>
        <w:sz w:val="24"/>
        <w:szCs w:val="24"/>
      </w:rPr>
      <w:fldChar w:fldCharType="begin"/>
    </w:r>
    <w:r w:rsidR="003C5A8D" w:rsidRPr="0023261E">
      <w:rPr>
        <w:rFonts w:ascii="Arial Narrow" w:hAnsi="Arial Narrow"/>
        <w:b/>
      </w:rPr>
      <w:instrText>PAGE</w:instrText>
    </w:r>
    <w:r w:rsidR="003C5A8D" w:rsidRPr="0023261E">
      <w:rPr>
        <w:rFonts w:ascii="Arial Narrow" w:hAnsi="Arial Narrow"/>
        <w:b/>
        <w:sz w:val="24"/>
        <w:szCs w:val="24"/>
      </w:rPr>
      <w:fldChar w:fldCharType="separate"/>
    </w:r>
    <w:r w:rsidR="00585C25">
      <w:rPr>
        <w:rFonts w:ascii="Arial Narrow" w:hAnsi="Arial Narrow"/>
        <w:b/>
        <w:noProof/>
      </w:rPr>
      <w:t>2</w:t>
    </w:r>
    <w:r w:rsidR="003C5A8D" w:rsidRPr="0023261E">
      <w:rPr>
        <w:rFonts w:ascii="Arial Narrow" w:hAnsi="Arial Narrow"/>
        <w:b/>
        <w:sz w:val="24"/>
        <w:szCs w:val="24"/>
      </w:rPr>
      <w:fldChar w:fldCharType="end"/>
    </w:r>
    <w:r w:rsidR="003C5A8D" w:rsidRPr="0023261E">
      <w:rPr>
        <w:rFonts w:ascii="Arial Narrow" w:hAnsi="Arial Narrow"/>
      </w:rPr>
      <w:t xml:space="preserve"> sur </w:t>
    </w:r>
    <w:r w:rsidR="003C5A8D" w:rsidRPr="0023261E">
      <w:rPr>
        <w:rFonts w:ascii="Arial Narrow" w:hAnsi="Arial Narrow"/>
        <w:b/>
        <w:sz w:val="24"/>
        <w:szCs w:val="24"/>
      </w:rPr>
      <w:fldChar w:fldCharType="begin"/>
    </w:r>
    <w:r w:rsidR="003C5A8D" w:rsidRPr="0023261E">
      <w:rPr>
        <w:rFonts w:ascii="Arial Narrow" w:hAnsi="Arial Narrow"/>
        <w:b/>
      </w:rPr>
      <w:instrText>NUMPAGES</w:instrText>
    </w:r>
    <w:r w:rsidR="003C5A8D" w:rsidRPr="0023261E">
      <w:rPr>
        <w:rFonts w:ascii="Arial Narrow" w:hAnsi="Arial Narrow"/>
        <w:b/>
        <w:sz w:val="24"/>
        <w:szCs w:val="24"/>
      </w:rPr>
      <w:fldChar w:fldCharType="separate"/>
    </w:r>
    <w:r w:rsidR="00585C25">
      <w:rPr>
        <w:rFonts w:ascii="Arial Narrow" w:hAnsi="Arial Narrow"/>
        <w:b/>
        <w:noProof/>
      </w:rPr>
      <w:t>3</w:t>
    </w:r>
    <w:r w:rsidR="003C5A8D" w:rsidRPr="0023261E">
      <w:rPr>
        <w:rFonts w:ascii="Arial Narrow" w:hAnsi="Arial Narrow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3F47D" w14:textId="77777777" w:rsidR="005E5CD5" w:rsidRDefault="005E5CD5" w:rsidP="00A546E3">
      <w:pPr>
        <w:spacing w:after="0" w:line="240" w:lineRule="auto"/>
      </w:pPr>
      <w:r>
        <w:separator/>
      </w:r>
    </w:p>
  </w:footnote>
  <w:footnote w:type="continuationSeparator" w:id="0">
    <w:p w14:paraId="03430816" w14:textId="77777777" w:rsidR="005E5CD5" w:rsidRDefault="005E5CD5" w:rsidP="00A54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261B6" w14:textId="77777777" w:rsidR="00F96A87" w:rsidRPr="00B2412F" w:rsidRDefault="003A6351">
    <w:pPr>
      <w:pStyle w:val="Header"/>
      <w:rPr>
        <w:rFonts w:ascii="Arial Narrow" w:hAnsi="Arial Narrow"/>
        <w:b/>
        <w:sz w:val="72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BD3136" wp14:editId="7B15AE7E">
              <wp:simplePos x="0" y="0"/>
              <wp:positionH relativeFrom="column">
                <wp:posOffset>5024755</wp:posOffset>
              </wp:positionH>
              <wp:positionV relativeFrom="paragraph">
                <wp:posOffset>-1905</wp:posOffset>
              </wp:positionV>
              <wp:extent cx="1190625" cy="752475"/>
              <wp:effectExtent l="0" t="0" r="4445" b="19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90625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D41BBA" w14:textId="77777777" w:rsidR="00F96A87" w:rsidRPr="00FF4A81" w:rsidRDefault="003C5A8D">
                          <w:pPr>
                            <w:rPr>
                              <w:rFonts w:ascii="Arial Narrow" w:hAnsi="Arial Narrow"/>
                              <w:b/>
                              <w:color w:val="002060"/>
                              <w:sz w:val="72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7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BD3136" id="Rectangle 1" o:spid="_x0000_s1026" style="position:absolute;margin-left:395.65pt;margin-top:-.15pt;width:93.7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" stroked="f">
              <v:textbox>
                <w:txbxContent>
                  <w:p w14:paraId="09D41BBA" w14:textId="77777777" w:rsidR="00F96A87" w:rsidRPr="00FF4A81" w:rsidRDefault="003C5A8D">
                    <w:pPr>
                      <w:rPr>
                        <w:rFonts w:ascii="Arial Narrow" w:hAnsi="Arial Narrow"/>
                        <w:b/>
                        <w:color w:val="002060"/>
                        <w:sz w:val="72"/>
                      </w:rPr>
                    </w:pPr>
                    <w:r>
                      <w:rPr>
                        <w:rFonts w:ascii="Arial Narrow" w:hAnsi="Arial Narrow"/>
                        <w:b/>
                        <w:sz w:val="7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C1E"/>
    <w:multiLevelType w:val="hybridMultilevel"/>
    <w:tmpl w:val="37C25F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53B42"/>
    <w:multiLevelType w:val="hybridMultilevel"/>
    <w:tmpl w:val="B4663F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77A7D"/>
    <w:multiLevelType w:val="hybridMultilevel"/>
    <w:tmpl w:val="5BEE3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149D8"/>
    <w:multiLevelType w:val="multilevel"/>
    <w:tmpl w:val="CDD049EA"/>
    <w:lvl w:ilvl="0">
      <w:start w:val="3"/>
      <w:numFmt w:val="upperLetter"/>
      <w:lvlText w:val="%1."/>
      <w:lvlJc w:val="left"/>
      <w:pPr>
        <w:ind w:left="567" w:hanging="567"/>
      </w:pPr>
      <w:rPr>
        <w:rFonts w:cs="Times New Roman" w:hint="default"/>
      </w:rPr>
    </w:lvl>
    <w:lvl w:ilvl="1">
      <w:start w:val="1"/>
      <w:numFmt w:val="decimal"/>
      <w:pStyle w:val="Style4"/>
      <w:lvlText w:val="%1.%2."/>
      <w:lvlJc w:val="left"/>
      <w:pPr>
        <w:ind w:left="567" w:hanging="567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142" w:firstLine="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CD2131"/>
    <w:multiLevelType w:val="hybridMultilevel"/>
    <w:tmpl w:val="149E5C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80F1E"/>
    <w:multiLevelType w:val="hybridMultilevel"/>
    <w:tmpl w:val="3730ACCC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61856"/>
    <w:multiLevelType w:val="hybridMultilevel"/>
    <w:tmpl w:val="9BE4F996"/>
    <w:lvl w:ilvl="0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0D617327"/>
    <w:multiLevelType w:val="hybridMultilevel"/>
    <w:tmpl w:val="CFD01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D09C7"/>
    <w:multiLevelType w:val="hybridMultilevel"/>
    <w:tmpl w:val="6D4696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71F6E"/>
    <w:multiLevelType w:val="hybridMultilevel"/>
    <w:tmpl w:val="E40E721C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16B42"/>
    <w:multiLevelType w:val="hybridMultilevel"/>
    <w:tmpl w:val="17685D7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65761"/>
    <w:multiLevelType w:val="hybridMultilevel"/>
    <w:tmpl w:val="CFDE08E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77662"/>
    <w:multiLevelType w:val="hybridMultilevel"/>
    <w:tmpl w:val="98E63354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0D41216"/>
    <w:multiLevelType w:val="hybridMultilevel"/>
    <w:tmpl w:val="B4663F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84D88"/>
    <w:multiLevelType w:val="multilevel"/>
    <w:tmpl w:val="12EC362C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15" w15:restartNumberingAfterBreak="0">
    <w:nsid w:val="59E32A7D"/>
    <w:multiLevelType w:val="hybridMultilevel"/>
    <w:tmpl w:val="6D34E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419B8"/>
    <w:multiLevelType w:val="hybridMultilevel"/>
    <w:tmpl w:val="336891BC"/>
    <w:lvl w:ilvl="0" w:tplc="5A8E594C"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72D2235E"/>
    <w:multiLevelType w:val="hybridMultilevel"/>
    <w:tmpl w:val="EB5820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762111">
    <w:abstractNumId w:val="13"/>
  </w:num>
  <w:num w:numId="2" w16cid:durableId="1134175238">
    <w:abstractNumId w:val="4"/>
  </w:num>
  <w:num w:numId="3" w16cid:durableId="1555003628">
    <w:abstractNumId w:val="9"/>
  </w:num>
  <w:num w:numId="4" w16cid:durableId="653339397">
    <w:abstractNumId w:val="5"/>
  </w:num>
  <w:num w:numId="5" w16cid:durableId="863514717">
    <w:abstractNumId w:val="2"/>
  </w:num>
  <w:num w:numId="6" w16cid:durableId="1543444232">
    <w:abstractNumId w:val="1"/>
  </w:num>
  <w:num w:numId="7" w16cid:durableId="1752920458">
    <w:abstractNumId w:val="3"/>
  </w:num>
  <w:num w:numId="8" w16cid:durableId="779646976">
    <w:abstractNumId w:val="16"/>
  </w:num>
  <w:num w:numId="9" w16cid:durableId="1210844540">
    <w:abstractNumId w:val="12"/>
  </w:num>
  <w:num w:numId="10" w16cid:durableId="1524006016">
    <w:abstractNumId w:val="0"/>
  </w:num>
  <w:num w:numId="11" w16cid:durableId="655652197">
    <w:abstractNumId w:val="17"/>
  </w:num>
  <w:num w:numId="12" w16cid:durableId="505629459">
    <w:abstractNumId w:val="6"/>
  </w:num>
  <w:num w:numId="13" w16cid:durableId="156501870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1434259">
    <w:abstractNumId w:val="7"/>
  </w:num>
  <w:num w:numId="15" w16cid:durableId="1779645239">
    <w:abstractNumId w:val="15"/>
  </w:num>
  <w:num w:numId="16" w16cid:durableId="1383169298">
    <w:abstractNumId w:val="10"/>
  </w:num>
  <w:num w:numId="17" w16cid:durableId="1823422971">
    <w:abstractNumId w:val="8"/>
  </w:num>
  <w:num w:numId="18" w16cid:durableId="19939429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351"/>
    <w:rsid w:val="00001CBE"/>
    <w:rsid w:val="0002094E"/>
    <w:rsid w:val="00027F53"/>
    <w:rsid w:val="000B5FCD"/>
    <w:rsid w:val="000F0DBD"/>
    <w:rsid w:val="000F3982"/>
    <w:rsid w:val="001077CD"/>
    <w:rsid w:val="0016005B"/>
    <w:rsid w:val="00164411"/>
    <w:rsid w:val="00167FBC"/>
    <w:rsid w:val="00192856"/>
    <w:rsid w:val="001C0641"/>
    <w:rsid w:val="001C109F"/>
    <w:rsid w:val="001F13E5"/>
    <w:rsid w:val="00222E83"/>
    <w:rsid w:val="00245511"/>
    <w:rsid w:val="00257F04"/>
    <w:rsid w:val="00277FC6"/>
    <w:rsid w:val="00290A68"/>
    <w:rsid w:val="002A23BA"/>
    <w:rsid w:val="002A2784"/>
    <w:rsid w:val="002B605D"/>
    <w:rsid w:val="0031301F"/>
    <w:rsid w:val="00386839"/>
    <w:rsid w:val="003A20F1"/>
    <w:rsid w:val="003A6351"/>
    <w:rsid w:val="003C5A8D"/>
    <w:rsid w:val="003E216E"/>
    <w:rsid w:val="003E7F13"/>
    <w:rsid w:val="003F3703"/>
    <w:rsid w:val="00437C91"/>
    <w:rsid w:val="00451AA0"/>
    <w:rsid w:val="00455520"/>
    <w:rsid w:val="00462DB7"/>
    <w:rsid w:val="004D38EE"/>
    <w:rsid w:val="004D3945"/>
    <w:rsid w:val="004D67EC"/>
    <w:rsid w:val="004D7327"/>
    <w:rsid w:val="00585C25"/>
    <w:rsid w:val="005A544E"/>
    <w:rsid w:val="005B1D60"/>
    <w:rsid w:val="005E5CD5"/>
    <w:rsid w:val="005F1428"/>
    <w:rsid w:val="0061272F"/>
    <w:rsid w:val="00621098"/>
    <w:rsid w:val="00621BD7"/>
    <w:rsid w:val="00653E21"/>
    <w:rsid w:val="00691F27"/>
    <w:rsid w:val="006A56BD"/>
    <w:rsid w:val="006B67B6"/>
    <w:rsid w:val="006D320B"/>
    <w:rsid w:val="006E409D"/>
    <w:rsid w:val="00721C79"/>
    <w:rsid w:val="007248F8"/>
    <w:rsid w:val="00732D4E"/>
    <w:rsid w:val="00742CCD"/>
    <w:rsid w:val="00756F7D"/>
    <w:rsid w:val="00771F88"/>
    <w:rsid w:val="00792B04"/>
    <w:rsid w:val="007C14DF"/>
    <w:rsid w:val="007E60F0"/>
    <w:rsid w:val="007E6A3E"/>
    <w:rsid w:val="007F0A0D"/>
    <w:rsid w:val="00834940"/>
    <w:rsid w:val="00846773"/>
    <w:rsid w:val="00876CAF"/>
    <w:rsid w:val="0088024B"/>
    <w:rsid w:val="0093036A"/>
    <w:rsid w:val="00933DA3"/>
    <w:rsid w:val="00971FB5"/>
    <w:rsid w:val="009C197A"/>
    <w:rsid w:val="009C421E"/>
    <w:rsid w:val="009D70B0"/>
    <w:rsid w:val="009E08CD"/>
    <w:rsid w:val="00A03CF3"/>
    <w:rsid w:val="00A311AA"/>
    <w:rsid w:val="00A33B64"/>
    <w:rsid w:val="00A4118F"/>
    <w:rsid w:val="00A41E82"/>
    <w:rsid w:val="00A428B6"/>
    <w:rsid w:val="00A546E3"/>
    <w:rsid w:val="00A70B9D"/>
    <w:rsid w:val="00AA1B94"/>
    <w:rsid w:val="00AA639B"/>
    <w:rsid w:val="00AA64E3"/>
    <w:rsid w:val="00AF1C54"/>
    <w:rsid w:val="00B462BD"/>
    <w:rsid w:val="00BA256D"/>
    <w:rsid w:val="00BB6352"/>
    <w:rsid w:val="00BC54FD"/>
    <w:rsid w:val="00BC6BA2"/>
    <w:rsid w:val="00BD0F5E"/>
    <w:rsid w:val="00BD517C"/>
    <w:rsid w:val="00BD67A5"/>
    <w:rsid w:val="00BE35E8"/>
    <w:rsid w:val="00BF5A4A"/>
    <w:rsid w:val="00C209E9"/>
    <w:rsid w:val="00CE74DF"/>
    <w:rsid w:val="00CE7BAD"/>
    <w:rsid w:val="00D03318"/>
    <w:rsid w:val="00D17D14"/>
    <w:rsid w:val="00D27DDA"/>
    <w:rsid w:val="00D4005A"/>
    <w:rsid w:val="00D47A15"/>
    <w:rsid w:val="00D57964"/>
    <w:rsid w:val="00D63499"/>
    <w:rsid w:val="00D63B47"/>
    <w:rsid w:val="00D74761"/>
    <w:rsid w:val="00D90D66"/>
    <w:rsid w:val="00DB4444"/>
    <w:rsid w:val="00DD36BE"/>
    <w:rsid w:val="00DD4D16"/>
    <w:rsid w:val="00DD6E41"/>
    <w:rsid w:val="00DE381E"/>
    <w:rsid w:val="00DE7C05"/>
    <w:rsid w:val="00E612E9"/>
    <w:rsid w:val="00E76848"/>
    <w:rsid w:val="00E922C2"/>
    <w:rsid w:val="00EA09BE"/>
    <w:rsid w:val="00EF25EA"/>
    <w:rsid w:val="00EF2FDB"/>
    <w:rsid w:val="00F02C63"/>
    <w:rsid w:val="00F2108A"/>
    <w:rsid w:val="00F61269"/>
    <w:rsid w:val="00F668C0"/>
    <w:rsid w:val="00F73A52"/>
    <w:rsid w:val="00F96A87"/>
    <w:rsid w:val="00FE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7D887"/>
  <w15:chartTrackingRefBased/>
  <w15:docId w15:val="{A74A113C-0C2F-4244-AFAE-94D68D94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5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,List Paragraph (numbered (a)),References,Liste 1,Numbered List Paragraph,ReferencesCxSpLast,Medium Grid 1 - Accent 21,List Paragraph nowy,Listes,List Paragraph (bulleted list),Bullet 1 List,Indent Paragraph,List Paragraph1,Ha"/>
    <w:basedOn w:val="Normal"/>
    <w:link w:val="ListParagraphChar"/>
    <w:uiPriority w:val="34"/>
    <w:qFormat/>
    <w:rsid w:val="003A63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351"/>
    <w:pPr>
      <w:tabs>
        <w:tab w:val="center" w:pos="4536"/>
        <w:tab w:val="right" w:pos="9072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A6351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3A6351"/>
    <w:pPr>
      <w:tabs>
        <w:tab w:val="center" w:pos="4536"/>
        <w:tab w:val="right" w:pos="9072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3A6351"/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ListParagraphChar">
    <w:name w:val="List Paragraph Char"/>
    <w:aliases w:val="Bullets Char,List Paragraph (numbered (a)) Char,References Char,Liste 1 Char,Numbered List Paragraph Char,ReferencesCxSpLast Char,Medium Grid 1 - Accent 21 Char,List Paragraph nowy Char,Listes Char,List Paragraph (bulleted list) Char"/>
    <w:link w:val="ListParagraph"/>
    <w:uiPriority w:val="34"/>
    <w:qFormat/>
    <w:rsid w:val="003A6351"/>
    <w:rPr>
      <w:rFonts w:ascii="Calibri" w:eastAsia="Calibri" w:hAnsi="Calibri" w:cs="Times New Roman"/>
    </w:rPr>
  </w:style>
  <w:style w:type="paragraph" w:customStyle="1" w:styleId="Style4">
    <w:name w:val="Style4"/>
    <w:basedOn w:val="Normal"/>
    <w:link w:val="Style4Car"/>
    <w:qFormat/>
    <w:rsid w:val="00846773"/>
    <w:pPr>
      <w:numPr>
        <w:ilvl w:val="1"/>
        <w:numId w:val="7"/>
      </w:numPr>
      <w:spacing w:after="0" w:line="240" w:lineRule="auto"/>
      <w:jc w:val="both"/>
    </w:pPr>
    <w:rPr>
      <w:rFonts w:ascii="Times New Roman" w:eastAsia="Times New Roman" w:hAnsi="Times New Roman"/>
      <w:b/>
      <w:sz w:val="24"/>
      <w:szCs w:val="24"/>
    </w:rPr>
  </w:style>
  <w:style w:type="character" w:customStyle="1" w:styleId="Style4Car">
    <w:name w:val="Style4 Car"/>
    <w:basedOn w:val="DefaultParagraphFont"/>
    <w:link w:val="Style4"/>
    <w:rsid w:val="00846773"/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09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0F1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31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E08CD"/>
    <w:pPr>
      <w:spacing w:after="0" w:line="240" w:lineRule="auto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90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0A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0A6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A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A68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dsfi.rdc@finances.gouv.c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fdb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972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wakilongoelydja@outlook.fr</dc:creator>
  <cp:keywords/>
  <dc:description/>
  <cp:lastModifiedBy>BAKKALI, SELIM</cp:lastModifiedBy>
  <cp:revision>7</cp:revision>
  <cp:lastPrinted>2020-09-18T16:16:00Z</cp:lastPrinted>
  <dcterms:created xsi:type="dcterms:W3CDTF">2024-02-05T13:53:00Z</dcterms:created>
  <dcterms:modified xsi:type="dcterms:W3CDTF">2024-02-12T12:01:00Z</dcterms:modified>
</cp:coreProperties>
</file>