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anlifal-faz-4-raporu"/>
    <w:p>
      <w:pPr>
        <w:pStyle w:val="Heading1"/>
      </w:pPr>
      <w:r>
        <w:t xml:space="preserve">CANLIFAL — FAZ 4 RAPORU</w:t>
      </w:r>
    </w:p>
    <w:bookmarkStart w:id="20" w:name="X72936028f0b65f671053e4be5ebe3502f4975f4"/>
    <w:p>
      <w:pPr>
        <w:pStyle w:val="Heading2"/>
      </w:pPr>
      <w:r>
        <w:t xml:space="preserve">Rate Limiting (Hız Sınırlama) + Idempotency (Tekrar Koruması)</w:t>
      </w:r>
    </w:p>
    <w:p>
      <w:pPr>
        <w:pStyle w:val="FirstParagraph"/>
      </w:pPr>
      <w:r>
        <w:t xml:space="preserve">Tarih: 2026-08-27</w:t>
      </w:r>
      <w:r>
        <w:br/>
      </w:r>
      <w:r>
        <w:t xml:space="preserve">Kapsam: Eklemeli (additive). Mevcut hiçbir uç kaldırılmadı, mevcut istek/yanıt sözleşmeleri değiştirilmedi.</w:t>
      </w:r>
    </w:p>
    <w:p>
      <w:r>
        <w:pict>
          <v:rect style="width:0;height:1.5pt" o:hralign="center" o:hrstd="t" o:hr="t"/>
        </w:pict>
      </w:r>
    </w:p>
    <w:bookmarkEnd w:id="20"/>
    <w:bookmarkStart w:id="21" w:name="neden-bu-faz"/>
    <w:p>
      <w:pPr>
        <w:pStyle w:val="Heading2"/>
      </w:pPr>
      <w:r>
        <w:t xml:space="preserve">1. Neden bu faz?</w:t>
      </w:r>
    </w:p>
    <w:p>
      <w:pPr>
        <w:pStyle w:val="FirstParagraph"/>
      </w:pPr>
      <w:r>
        <w:t xml:space="preserve">Faz 1 denetiminde tespit edilen kritik boşluklar: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Bulgu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uygulanan handler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746 handler içinden yalnızca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(7 auth + hediye gönder + kayıt)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(aynı isteğin iki kez işlenmesini engelleme)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noktada, ad-hoc; ortak altyapı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Merkezî bucket/limit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— limitler kodun içine gömülü</w:t>
            </w:r>
          </w:p>
        </w:tc>
      </w:tr>
    </w:tbl>
    <w:p>
      <w:pPr>
        <w:pStyle w:val="BodyText"/>
      </w:pPr>
      <w:r>
        <w:t xml:space="preserve">Bu faz her iki eksiği de</w:t>
      </w:r>
      <w:r>
        <w:t xml:space="preserve"> </w:t>
      </w:r>
      <w:r>
        <w:rPr>
          <w:bCs/>
          <w:b/>
        </w:rPr>
        <w:t xml:space="preserve">ortak, yeniden kullanılabilir altyapı</w:t>
      </w:r>
      <w:r>
        <w:t xml:space="preserve"> </w:t>
      </w:r>
      <w:r>
        <w:t xml:space="preserve">haline getirdi.</w:t>
      </w:r>
    </w:p>
    <w:p>
      <w:r>
        <w:pict>
          <v:rect style="width:0;height:1.5pt" o:hralign="center" o:hrstd="t" o:hr="t"/>
        </w:pict>
      </w:r>
    </w:p>
    <w:bookmarkEnd w:id="21"/>
    <w:bookmarkStart w:id="25" w:name="yeni-dosyalar"/>
    <w:p>
      <w:pPr>
        <w:pStyle w:val="Heading2"/>
      </w:pPr>
      <w:r>
        <w:t xml:space="preserve">2. Yeni dosyalar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lib/rate-limit-guard.ts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guardRateLimit(req, bucket, { userId, limit, windowMs, message })</w:t>
            </w:r>
            <w:r>
              <w:t xml:space="preserve"> </w:t>
            </w:r>
            <w:r>
              <w:t xml:space="preserve">→ limit aşıldıysa hazır</w:t>
            </w:r>
            <w:r>
              <w:t xml:space="preserve"> </w:t>
            </w:r>
            <w:r>
              <w:rPr>
                <w:bCs/>
                <w:b/>
              </w:rPr>
              <w:t xml:space="preserve">429</w:t>
            </w:r>
            <w:r>
              <w:t xml:space="preserve"> </w:t>
            </w:r>
            <w:r>
              <w:t xml:space="preserve">yanıtı, aşılmadıysa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döner. Ayrıca</w:t>
            </w:r>
            <w:r>
              <w:t xml:space="preserve"> </w:t>
            </w:r>
            <w:r>
              <w:rPr>
                <w:rStyle w:val="VerbatimChar"/>
              </w:rPr>
              <w:t xml:space="preserve">DEFAULT_RATE_LIMITS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getClientIp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resolveIdentity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lib/idempotency.ts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getIdempotencyKey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beginIdempotent(req, scope, userId)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completeIdempotent(recordId, status, body)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releaseIdempotent(recordId)</w:t>
            </w:r>
            <w:r>
              <w:t xml:space="preserve">.</w:t>
            </w:r>
          </w:p>
        </w:tc>
      </w:tr>
    </w:tbl>
    <w:bookmarkStart w:id="22" w:name="rate-limit-bucketları-ve-varsayılanları"/>
    <w:p>
      <w:pPr>
        <w:pStyle w:val="Heading3"/>
      </w:pPr>
      <w:r>
        <w:t xml:space="preserve">2.1 Rate limit bucket’ları ve varsayılanları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(istek/dk)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(15 dakikalık pencere)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Limitler</w:t>
      </w:r>
      <w:r>
        <w:t xml:space="preserve"> </w:t>
      </w:r>
      <w:r>
        <w:rPr>
          <w:bCs/>
          <w:b/>
        </w:rPr>
        <w:t xml:space="preserve">kodda sabit değil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adlı Remote Config kaydından okunur (60 sn önbellekli). Yani admin panelinden değer değiştirilebilir, kod dağıtımı gerekmez. Config’te karşılığı olmayan bucket varsayılana düşer.</w:t>
      </w:r>
    </w:p>
    <w:bookmarkEnd w:id="22"/>
    <w:bookmarkStart w:id="23" w:name="yanıtındaki-başlıklar"/>
    <w:p>
      <w:pPr>
        <w:pStyle w:val="Heading3"/>
      </w:pPr>
      <w:r>
        <w:t xml:space="preserve">2.2 429 yanıtındaki başlıklar</w:t>
      </w:r>
    </w:p>
    <w:p>
      <w:pPr>
        <w:pStyle w:val="FirstParagraph"/>
      </w:pPr>
      <w:r>
        <w:rPr>
          <w:rStyle w:val="VerbatimChar"/>
        </w:rPr>
        <w:t xml:space="preserve">Retry-After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.</w:t>
      </w:r>
    </w:p>
    <w:bookmarkEnd w:id="23"/>
    <w:bookmarkStart w:id="24" w:name="idempotency-çalışma-mantığı"/>
    <w:p>
      <w:pPr>
        <w:pStyle w:val="Heading3"/>
      </w:pPr>
      <w:r>
        <w:t xml:space="preserve">2.3 Idempotency çalışma mantığı</w:t>
      </w:r>
    </w:p>
    <w:p>
      <w:pPr>
        <w:numPr>
          <w:ilvl w:val="0"/>
          <w:numId w:val="1001"/>
        </w:numPr>
        <w:pStyle w:val="Compact"/>
      </w:pPr>
      <w:r>
        <w:t xml:space="preserve">İstemci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) başlığı gönderir.</w:t>
      </w:r>
    </w:p>
    <w:p>
      <w:pPr>
        <w:numPr>
          <w:ilvl w:val="0"/>
          <w:numId w:val="1001"/>
        </w:numPr>
        <w:pStyle w:val="Compact"/>
      </w:pPr>
      <w:r>
        <w:t xml:space="preserve">Başlık</w:t>
      </w:r>
      <w:r>
        <w:t xml:space="preserve"> </w:t>
      </w:r>
      <w:r>
        <w:rPr>
          <w:bCs/>
          <w:b/>
        </w:rPr>
        <w:t xml:space="preserve">yoksa</w:t>
      </w:r>
      <w:r>
        <w:t xml:space="preserve"> </w:t>
      </w:r>
      <w:r>
        <w:t xml:space="preserve">mekanizma tamamen devre dışıdır → mevcut istemciler (web + eski Flutter APK’lar) hiçbir değişiklik görmez.</w:t>
      </w:r>
    </w:p>
    <w:p>
      <w:pPr>
        <w:numPr>
          <w:ilvl w:val="0"/>
          <w:numId w:val="1001"/>
        </w:numPr>
        <w:pStyle w:val="Compact"/>
      </w:pPr>
      <w:r>
        <w:t xml:space="preserve">Aynı anahtarla ikinci istek gelirse ilk isteğin kaydedilmiş yanıtı aynen döner (yeni kayıt oluşmaz).</w:t>
      </w:r>
    </w:p>
    <w:p>
      <w:pPr>
        <w:numPr>
          <w:ilvl w:val="0"/>
          <w:numId w:val="1001"/>
        </w:numPr>
        <w:pStyle w:val="Compact"/>
      </w:pPr>
      <w:r>
        <w:t xml:space="preserve">İlk istek hâlâ işleniyorsa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döner; 60 saniyeden uzun süredir takılı kalmışsa kayıt bayat sayılıp yeniden denenmesine izin verilir.</w:t>
      </w:r>
    </w:p>
    <w:p>
      <w:pPr>
        <w:numPr>
          <w:ilvl w:val="0"/>
          <w:numId w:val="1001"/>
        </w:numPr>
        <w:pStyle w:val="Compact"/>
      </w:pPr>
      <w:r>
        <w:t xml:space="preserve">Kayıt TTL’i</w:t>
      </w:r>
      <w:r>
        <w:t xml:space="preserve"> </w:t>
      </w:r>
      <w:r>
        <w:rPr>
          <w:bCs/>
          <w:b/>
        </w:rPr>
        <w:t xml:space="preserve">24 saat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Anahtar</w:t>
      </w:r>
      <w:r>
        <w:t xml:space="preserve"> </w:t>
      </w:r>
      <w:r>
        <w:rPr>
          <w:bCs/>
          <w:b/>
        </w:rPr>
        <w:t xml:space="preserve">doğrulamalardan sonra</w:t>
      </w:r>
      <w:r>
        <w:t xml:space="preserve"> </w:t>
      </w:r>
      <w:r>
        <w:t xml:space="preserve">rezerve edilir: hatalı bir istek anahtarı yakmaz, kullanıcı düzeltip aynı anahtarla tekrar deneyebilir.</w:t>
      </w:r>
    </w:p>
    <w:p>
      <w:pPr>
        <w:numPr>
          <w:ilvl w:val="0"/>
          <w:numId w:val="1001"/>
        </w:numPr>
        <w:pStyle w:val="Compact"/>
      </w:pPr>
      <w:r>
        <w:t xml:space="preserve">Hata durumunda</w:t>
      </w:r>
      <w:r>
        <w:t xml:space="preserve"> </w:t>
      </w:r>
      <w:r>
        <w:rPr>
          <w:rStyle w:val="VerbatimChar"/>
        </w:rPr>
        <w:t xml:space="preserve">releaseIdempotent</w:t>
      </w:r>
      <w:r>
        <w:t xml:space="preserve"> </w:t>
      </w:r>
      <w:r>
        <w:t xml:space="preserve">kaydı serbest bırakır.</w:t>
      </w:r>
    </w:p>
    <w:p>
      <w:pPr>
        <w:numPr>
          <w:ilvl w:val="0"/>
          <w:numId w:val="1001"/>
        </w:numPr>
        <w:pStyle w:val="Compact"/>
      </w:pPr>
      <w:r>
        <w:t xml:space="preserve">Modül hiçbir koşulda exception fırlatmaz; altyapı hatası isteği düşürmez.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şema-değişikliği-eklemeli"/>
    <w:p>
      <w:pPr>
        <w:pStyle w:val="Heading2"/>
      </w:pPr>
      <w:r>
        <w:t xml:space="preserve">3. Şema değişikliği (eklemeli)</w:t>
      </w:r>
    </w:p>
    <w:p>
      <w:pPr>
        <w:pStyle w:val="FirstParagraph"/>
      </w:pPr>
      <w:r>
        <w:t xml:space="preserve">Yeni model</w:t>
      </w:r>
      <w:r>
        <w:t xml:space="preserve"> </w:t>
      </w:r>
      <w:r>
        <w:rPr>
          <w:rStyle w:val="VerbatimChar"/>
          <w:bCs/>
          <w:b/>
        </w:rPr>
        <w:t xml:space="preserve">IdempotencyRecord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idempotency_records</w:t>
      </w:r>
      <w:r>
        <w:t xml:space="preserve"> </w:t>
      </w:r>
      <w:r>
        <w:t xml:space="preserve">tablosu):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  <w:r>
              <w:t xml:space="preserve"> </w:t>
            </w:r>
            <w:r>
              <w:t xml:space="preserve">@unique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</w:tr>
    </w:tbl>
    <w:p>
      <w:pPr>
        <w:pStyle w:val="BodyText"/>
      </w:pPr>
      <w:r>
        <w:t xml:space="preserve">İndeksler: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. Mevcut hiçbir tablo değiştirilmedi. Veritabanına başarıyla uygulandı.</w:t>
      </w:r>
    </w:p>
    <w:p>
      <w:pPr>
        <w:pStyle w:val="BlockText"/>
      </w:pPr>
      <w:r>
        <w:t xml:space="preserve">Not: Bu veritabanı başka uygulamalarla paylaşıldığı için, diğer uygulamaların istemcilerini yeniden üretmesi gerekir.</w:t>
      </w:r>
    </w:p>
    <w:p>
      <w:r>
        <w:pict>
          <v:rect style="width:0;height:1.5pt" o:hralign="center" o:hrstd="t" o:hr="t"/>
        </w:pict>
      </w:r>
    </w:p>
    <w:bookmarkEnd w:id="26"/>
    <w:bookmarkStart w:id="29" w:name="değiştirilen-uçlar"/>
    <w:p>
      <w:pPr>
        <w:pStyle w:val="Heading2"/>
      </w:pPr>
      <w:r>
        <w:t xml:space="preserve">4. Değiştirilen uçlar</w:t>
      </w:r>
    </w:p>
    <w:bookmarkStart w:id="27" w:name="rate-limit-eklenenler-9-uç"/>
    <w:p>
      <w:pPr>
        <w:pStyle w:val="Heading3"/>
      </w:pPr>
      <w:r>
        <w:t xml:space="preserve">4.1 Rate limit eklenenler (9 uç)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/api/agency/apply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/api/agency/join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agency_action</w:t>
            </w:r>
          </w:p>
        </w:tc>
      </w:tr>
    </w:tbl>
    <w:p>
      <w:pPr>
        <w:pStyle w:val="BodyText"/>
      </w:pPr>
      <w:r>
        <w:t xml:space="preserve">Her kontrol</w:t>
      </w:r>
      <w:r>
        <w:t xml:space="preserve"> </w:t>
      </w:r>
      <w:r>
        <w:rPr>
          <w:bCs/>
          <w:b/>
        </w:rPr>
        <w:t xml:space="preserve">kimlik doğrulamadan sonra</w:t>
      </w:r>
      <w:r>
        <w:t xml:space="preserve"> </w:t>
      </w:r>
      <w:r>
        <w:t xml:space="preserve">çalışır, böylece kimlik başına (yoksa IP başına) sayım yapılır.</w:t>
      </w:r>
    </w:p>
    <w:bookmarkEnd w:id="27"/>
    <w:bookmarkStart w:id="28" w:name="idempotency-eklenenler-2-uç-finansal"/>
    <w:p>
      <w:pPr>
        <w:pStyle w:val="Heading3"/>
      </w:pPr>
      <w:r>
        <w:t xml:space="preserve">4.2 Idempotency eklenenler (2 uç — finansal)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payment_request</w:t>
            </w:r>
          </w:p>
        </w:tc>
      </w:tr>
    </w:tbl>
    <w:p>
      <w:pPr>
        <w:pStyle w:val="BodyText"/>
      </w:pPr>
      <w:r>
        <w:t xml:space="preserve">Bu iki uç seçildi çünkü çift gönderim doğrudan</w:t>
      </w:r>
      <w:r>
        <w:t xml:space="preserve"> </w:t>
      </w:r>
      <w:r>
        <w:rPr>
          <w:bCs/>
          <w:b/>
        </w:rPr>
        <w:t xml:space="preserve">para/bakiye hatası</w:t>
      </w:r>
      <w:r>
        <w:t xml:space="preserve"> </w:t>
      </w:r>
      <w:r>
        <w:t xml:space="preserve">üretir (çift para çekme talebi, çift ödeme kaydı).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eriye-dönük-uyumluluk"/>
    <w:p>
      <w:pPr>
        <w:pStyle w:val="Heading2"/>
      </w:pPr>
      <w:r>
        <w:t xml:space="preserve">5. Geriye dönük uyumluluk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uç eklendi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— 478 path / 746 handler sayısı değişmedi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İstek gövdesi değişti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Yanıt gövdesi değişti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(sadece yeni</w:t>
            </w:r>
            <w:r>
              <w:t xml:space="preserve"> </w:t>
            </w:r>
            <w:r>
              <w:rPr>
                <w:bCs/>
                <w:b/>
              </w:rPr>
              <w:t xml:space="preserve">başlıklar</w:t>
            </w:r>
            <w:r>
              <w:t xml:space="preserve"> </w:t>
            </w:r>
            <w:r>
              <w:t xml:space="preserve">eklendi)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Eski Flutter APK’lar etkilenir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—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göndermezler, mekanizma devre dışı kalır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</w:t>
            </w:r>
            <w:r>
              <w:t xml:space="preserve"> </w:t>
            </w:r>
            <w:r>
              <w:rPr>
                <w:rStyle w:val="VerbatimChar"/>
              </w:rPr>
              <w:t xml:space="preserve">lib/rate-limiter.ts</w:t>
            </w:r>
            <w:r>
              <w:t xml:space="preserve"> </w:t>
            </w:r>
            <w:r>
              <w:t xml:space="preserve">kullanıcıları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Dokunulmadı; 9 eski handler aynen çalışıyor. Yeni guard onun üzerine kuruldu.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oğrulama"/>
    <w:p>
      <w:pPr>
        <w:pStyle w:val="Heading2"/>
      </w:pPr>
      <w:r>
        <w:t xml:space="preserve">6.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Hatasız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 ayağa kalkıyor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veritabanına uygulandı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kaydedildi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Canlı 429 / 409 davranışı</w:t>
      </w:r>
      <w:r>
        <w:t xml:space="preserve"> </w:t>
      </w:r>
      <w:r>
        <w:rPr>
          <w:bCs/>
          <w:b/>
        </w:rPr>
        <w:t xml:space="preserve">uçtan uca çalıştırılarak test edilmedi</w:t>
      </w:r>
      <w:r>
        <w:t xml:space="preserve"> </w:t>
      </w:r>
      <w:r>
        <w:t xml:space="preserve">— kimlik doğrulaması gerektiren uçlar olduğu için gerçek oturum tokenı ile manuel deneme yapılmadı. Kod derlendi ve mantık gözden geçirildi.</w:t>
      </w:r>
    </w:p>
    <w:p>
      <w:r>
        <w:pict>
          <v:rect style="width:0;height:1.5pt" o:hralign="center" o:hrstd="t" o:hr="t"/>
        </w:pict>
      </w:r>
    </w:p>
    <w:bookmarkEnd w:id="31"/>
    <w:bookmarkStart w:id="32" w:name="faz-5-önerisi-ledger-auditlog"/>
    <w:p>
      <w:pPr>
        <w:pStyle w:val="Heading2"/>
      </w:pPr>
      <w:r>
        <w:t xml:space="preserve">7. Faz 5 önerisi — Ledger + AuditLog</w:t>
      </w:r>
    </w:p>
    <w:p>
      <w:pPr>
        <w:pStyle w:val="FirstParagraph"/>
      </w:pPr>
      <w:r>
        <w:t xml:space="preserve">Faz 1 denetiminde eksik olduğu belirlenen modeller: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Role/Permission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SupporterLevel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EffectRule</w:t>
      </w:r>
      <w:r>
        <w:t xml:space="preserve">.</w:t>
      </w:r>
    </w:p>
    <w:p>
      <w:pPr>
        <w:pStyle w:val="BodyText"/>
      </w:pPr>
      <w:r>
        <w:t xml:space="preserve">Öncelik önerisi:</w:t>
      </w:r>
      <w:r>
        <w:t xml:space="preserve"> </w:t>
      </w:r>
      <w:r>
        <w:rPr>
          <w:bCs/>
          <w:b/>
        </w:rPr>
        <w:t xml:space="preserve">değiştirilemez (immutable) Ledger + AuditLog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Finansal doğruluk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Şu anda jeton/CFC hareketleri farklı tablolara dağılmış durumda; tek bir değiştirilemez defter yok. Bakiye uyuşmazlığı çıktığında kaynak tespit edilemiyor.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Denetlenebilirlik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işlemleri (bakiye ekleme, ban, ödeme onayı) merkezî bir denetim kaydına yazılmıyor.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4 ile uyum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+ Ledger birlikte çift-harcama korumasını tamamlar.</w:t>
            </w:r>
          </w:p>
        </w:tc>
      </w:tr>
    </w:tbl>
    <w:p>
      <w:pPr>
        <w:pStyle w:val="BodyText"/>
      </w:pPr>
      <w:r>
        <w:t xml:space="preserve">Planlanan içerik: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 </w:t>
      </w:r>
      <w:r>
        <w:t xml:space="preserve">modeli (çift kayıt mantığı, sadece ekleme),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modeli,</w:t>
      </w:r>
      <w:r>
        <w:t xml:space="preserve"> </w:t>
      </w:r>
      <w:r>
        <w:rPr>
          <w:rStyle w:val="VerbatimChar"/>
        </w:rPr>
        <w:t xml:space="preserve">lib/ledger.ts</w:t>
      </w:r>
      <w:r>
        <w:t xml:space="preserve"> </w:t>
      </w:r>
      <w:r>
        <w:t xml:space="preserve">yazma yardımcıları, mevcut kritik para hareketlerinin ledger’a</w:t>
      </w:r>
      <w:r>
        <w:t xml:space="preserve"> </w:t>
      </w:r>
      <w:r>
        <w:rPr>
          <w:bCs/>
          <w:b/>
        </w:rPr>
        <w:t xml:space="preserve">paralel</w:t>
      </w:r>
      <w:r>
        <w:t xml:space="preserve"> </w:t>
      </w:r>
      <w:r>
        <w:t xml:space="preserve">yazılması (mevcut tablolar bozulmadan), admin denetim görüntüleme sayfası.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2026-08-27T14:15:01Z</dcterms:created>
  <dcterms:modified xsi:type="dcterms:W3CDTF">2026-08-27T14:15:01Z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